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85" w:rsidRPr="009122C4" w:rsidRDefault="00FD2885" w:rsidP="00FD2885">
      <w:pPr>
        <w:rPr>
          <w:rFonts w:ascii="Arial" w:hAnsi="Arial" w:cs="Arial"/>
          <w:i/>
          <w:sz w:val="24"/>
          <w:szCs w:val="24"/>
        </w:rPr>
      </w:pPr>
    </w:p>
    <w:p w:rsidR="00FD2885" w:rsidRPr="009122C4" w:rsidRDefault="00FD2885" w:rsidP="00FD2885">
      <w:pPr>
        <w:ind w:left="-270"/>
        <w:rPr>
          <w:rFonts w:ascii="Arial" w:hAnsi="Arial" w:cs="Arial"/>
          <w:sz w:val="24"/>
          <w:szCs w:val="24"/>
        </w:rPr>
      </w:pPr>
      <w:r w:rsidRPr="009122C4">
        <w:rPr>
          <w:rFonts w:ascii="Arial" w:hAnsi="Arial" w:cs="Arial"/>
          <w:sz w:val="24"/>
          <w:szCs w:val="24"/>
        </w:rPr>
        <w:t>To:     E-Trak Agency List</w:t>
      </w:r>
      <w:r w:rsidR="00933366" w:rsidRPr="009122C4">
        <w:rPr>
          <w:rFonts w:ascii="Arial" w:hAnsi="Arial" w:cs="Arial"/>
          <w:sz w:val="24"/>
          <w:szCs w:val="24"/>
        </w:rPr>
        <w:t>s</w:t>
      </w:r>
      <w:r w:rsidRPr="009122C4">
        <w:rPr>
          <w:rFonts w:ascii="Arial" w:hAnsi="Arial" w:cs="Arial"/>
          <w:sz w:val="24"/>
          <w:szCs w:val="24"/>
        </w:rPr>
        <w:t xml:space="preserve"> </w:t>
      </w:r>
    </w:p>
    <w:p w:rsidR="00FD2885" w:rsidRPr="009122C4" w:rsidRDefault="00FD2885" w:rsidP="00FD2885">
      <w:pPr>
        <w:ind w:left="-270"/>
        <w:rPr>
          <w:rFonts w:ascii="Arial" w:hAnsi="Arial" w:cs="Arial"/>
          <w:sz w:val="24"/>
          <w:szCs w:val="24"/>
        </w:rPr>
      </w:pPr>
      <w:r w:rsidRPr="009122C4">
        <w:rPr>
          <w:rFonts w:ascii="Arial" w:hAnsi="Arial" w:cs="Arial"/>
          <w:sz w:val="24"/>
          <w:szCs w:val="24"/>
        </w:rPr>
        <w:t xml:space="preserve">From: </w:t>
      </w:r>
      <w:hyperlink r:id="rId8" w:history="1">
        <w:r w:rsidRPr="009122C4">
          <w:rPr>
            <w:rStyle w:val="Hyperlink"/>
            <w:rFonts w:ascii="Arial" w:hAnsi="Arial" w:cs="Arial"/>
            <w:sz w:val="24"/>
            <w:szCs w:val="24"/>
          </w:rPr>
          <w:t>Safeguardreports@irs.gov</w:t>
        </w:r>
      </w:hyperlink>
    </w:p>
    <w:p w:rsidR="00FD2885" w:rsidRPr="009122C4" w:rsidRDefault="00FD2885" w:rsidP="00933366">
      <w:pPr>
        <w:ind w:left="1800" w:hanging="1350"/>
        <w:rPr>
          <w:rFonts w:ascii="Arial" w:hAnsi="Arial" w:cs="Arial"/>
          <w:b/>
          <w:sz w:val="24"/>
          <w:szCs w:val="24"/>
        </w:rPr>
      </w:pPr>
      <w:r w:rsidRPr="009122C4">
        <w:rPr>
          <w:rFonts w:ascii="Arial" w:hAnsi="Arial" w:cs="Arial"/>
          <w:sz w:val="24"/>
          <w:szCs w:val="24"/>
        </w:rPr>
        <w:t xml:space="preserve">Subject line: </w:t>
      </w:r>
      <w:r w:rsidR="00933366" w:rsidRPr="009122C4">
        <w:rPr>
          <w:rFonts w:ascii="Arial" w:hAnsi="Arial" w:cs="Arial"/>
          <w:sz w:val="24"/>
          <w:szCs w:val="24"/>
        </w:rPr>
        <w:t>Publication 1075 Reporting Requirements – Safeguard Security   Report</w:t>
      </w:r>
    </w:p>
    <w:p w:rsidR="002F74C5" w:rsidRPr="009122C4" w:rsidRDefault="00FD2885" w:rsidP="00933366">
      <w:pPr>
        <w:ind w:left="-270"/>
        <w:rPr>
          <w:rFonts w:ascii="Arial" w:hAnsi="Arial" w:cs="Arial"/>
          <w:sz w:val="24"/>
          <w:szCs w:val="24"/>
        </w:rPr>
      </w:pPr>
      <w:r w:rsidRPr="009122C4">
        <w:rPr>
          <w:rFonts w:ascii="Arial" w:hAnsi="Arial" w:cs="Arial"/>
          <w:b/>
          <w:sz w:val="24"/>
          <w:szCs w:val="24"/>
        </w:rPr>
        <w:t>***********************************************************************************************</w:t>
      </w:r>
      <w:r w:rsidRPr="009122C4">
        <w:rPr>
          <w:rFonts w:ascii="Arial" w:hAnsi="Arial" w:cs="Arial"/>
          <w:sz w:val="24"/>
          <w:szCs w:val="24"/>
        </w:rPr>
        <w:t xml:space="preserve"> </w:t>
      </w:r>
    </w:p>
    <w:p w:rsidR="009122C4" w:rsidRDefault="009122C4" w:rsidP="00933366">
      <w:pPr>
        <w:ind w:left="-270"/>
        <w:rPr>
          <w:rFonts w:ascii="Arial" w:hAnsi="Arial" w:cs="Arial"/>
          <w:sz w:val="24"/>
          <w:szCs w:val="24"/>
        </w:rPr>
      </w:pPr>
      <w:r>
        <w:rPr>
          <w:rStyle w:val="Emphasis"/>
          <w:rFonts w:cs="Arial"/>
          <w:b w:val="0"/>
          <w:szCs w:val="24"/>
        </w:rPr>
        <w:t xml:space="preserve">One of the highlights of </w:t>
      </w:r>
      <w:r w:rsidR="00FD2885" w:rsidRPr="009122C4">
        <w:rPr>
          <w:rStyle w:val="Emphasis"/>
          <w:rFonts w:cs="Arial"/>
          <w:b w:val="0"/>
          <w:szCs w:val="24"/>
        </w:rPr>
        <w:t xml:space="preserve">Publication 1075, Tax Information Security Guidelines for Federal, State and Local Agencies, </w:t>
      </w:r>
      <w:r w:rsidR="00933366" w:rsidRPr="009122C4">
        <w:rPr>
          <w:rStyle w:val="Emphasis"/>
          <w:rFonts w:cs="Arial"/>
          <w:b w:val="0"/>
          <w:szCs w:val="24"/>
        </w:rPr>
        <w:t xml:space="preserve">effective on January 1, 2014, </w:t>
      </w:r>
      <w:r>
        <w:rPr>
          <w:rStyle w:val="Emphasis"/>
          <w:rFonts w:cs="Arial"/>
          <w:b w:val="0"/>
          <w:szCs w:val="24"/>
        </w:rPr>
        <w:t xml:space="preserve">is the </w:t>
      </w:r>
      <w:r w:rsidR="00933366" w:rsidRPr="009122C4">
        <w:rPr>
          <w:rFonts w:ascii="Arial" w:hAnsi="Arial" w:cs="Arial"/>
          <w:sz w:val="24"/>
          <w:szCs w:val="24"/>
        </w:rPr>
        <w:t>elim</w:t>
      </w:r>
      <w:r>
        <w:rPr>
          <w:rFonts w:ascii="Arial" w:hAnsi="Arial" w:cs="Arial"/>
          <w:sz w:val="24"/>
          <w:szCs w:val="24"/>
        </w:rPr>
        <w:t>ination of</w:t>
      </w:r>
      <w:r w:rsidR="00FD2885" w:rsidRPr="009122C4">
        <w:rPr>
          <w:rFonts w:ascii="Arial" w:hAnsi="Arial" w:cs="Arial"/>
          <w:sz w:val="24"/>
          <w:szCs w:val="24"/>
        </w:rPr>
        <w:t xml:space="preserve"> unne</w:t>
      </w:r>
      <w:r w:rsidR="0061131A" w:rsidRPr="009122C4">
        <w:rPr>
          <w:rFonts w:ascii="Arial" w:hAnsi="Arial" w:cs="Arial"/>
          <w:sz w:val="24"/>
          <w:szCs w:val="24"/>
        </w:rPr>
        <w:t>cessary reports by 50%</w:t>
      </w:r>
      <w:r w:rsidR="00C96C96" w:rsidRPr="009122C4">
        <w:rPr>
          <w:rFonts w:ascii="Arial" w:hAnsi="Arial" w:cs="Arial"/>
          <w:sz w:val="24"/>
          <w:szCs w:val="24"/>
        </w:rPr>
        <w:t xml:space="preserve">. </w:t>
      </w:r>
      <w:r w:rsidR="00FD2885" w:rsidRPr="009122C4">
        <w:rPr>
          <w:rFonts w:ascii="Arial" w:hAnsi="Arial" w:cs="Arial"/>
          <w:sz w:val="24"/>
          <w:szCs w:val="24"/>
        </w:rPr>
        <w:t xml:space="preserve"> </w:t>
      </w:r>
    </w:p>
    <w:p w:rsidR="009122C4" w:rsidRPr="009122C4" w:rsidRDefault="00C96C96" w:rsidP="00933366">
      <w:pPr>
        <w:ind w:left="-270"/>
        <w:rPr>
          <w:rFonts w:ascii="Arial" w:hAnsi="Arial" w:cs="Arial"/>
          <w:sz w:val="24"/>
          <w:szCs w:val="24"/>
        </w:rPr>
      </w:pPr>
      <w:r w:rsidRPr="009122C4">
        <w:rPr>
          <w:rFonts w:ascii="Arial" w:hAnsi="Arial" w:cs="Arial"/>
          <w:sz w:val="24"/>
          <w:szCs w:val="24"/>
        </w:rPr>
        <w:t xml:space="preserve">We have </w:t>
      </w:r>
      <w:r w:rsidR="009122C4">
        <w:rPr>
          <w:rFonts w:ascii="Arial" w:hAnsi="Arial" w:cs="Arial"/>
          <w:sz w:val="24"/>
          <w:szCs w:val="24"/>
        </w:rPr>
        <w:t>accomplished this by replacing</w:t>
      </w:r>
      <w:r w:rsidR="00FD2885" w:rsidRPr="009122C4">
        <w:rPr>
          <w:rFonts w:ascii="Arial" w:hAnsi="Arial" w:cs="Arial"/>
          <w:sz w:val="24"/>
          <w:szCs w:val="24"/>
        </w:rPr>
        <w:t xml:space="preserve"> the annual Safeguard Activity Report and Safeguard Procedures Report </w:t>
      </w:r>
      <w:r w:rsidR="009122C4">
        <w:rPr>
          <w:rFonts w:ascii="Arial" w:hAnsi="Arial" w:cs="Arial"/>
          <w:sz w:val="24"/>
          <w:szCs w:val="24"/>
        </w:rPr>
        <w:t>formerly used with</w:t>
      </w:r>
      <w:r w:rsidR="00FD2885" w:rsidRPr="009122C4">
        <w:rPr>
          <w:rFonts w:ascii="Arial" w:hAnsi="Arial" w:cs="Arial"/>
          <w:sz w:val="24"/>
          <w:szCs w:val="24"/>
        </w:rPr>
        <w:t xml:space="preserve"> one annual S</w:t>
      </w:r>
      <w:r w:rsidR="00933366" w:rsidRPr="009122C4">
        <w:rPr>
          <w:rFonts w:ascii="Arial" w:hAnsi="Arial" w:cs="Arial"/>
          <w:sz w:val="24"/>
          <w:szCs w:val="24"/>
        </w:rPr>
        <w:t>afeguards Security Report</w:t>
      </w:r>
      <w:r w:rsidR="009122C4">
        <w:rPr>
          <w:rFonts w:ascii="Arial" w:hAnsi="Arial" w:cs="Arial"/>
          <w:sz w:val="24"/>
          <w:szCs w:val="24"/>
        </w:rPr>
        <w:t xml:space="preserve"> </w:t>
      </w:r>
      <w:r w:rsidR="009122C4" w:rsidRPr="009122C4">
        <w:rPr>
          <w:rFonts w:ascii="Arial" w:hAnsi="Arial" w:cs="Arial"/>
          <w:sz w:val="24"/>
          <w:szCs w:val="24"/>
        </w:rPr>
        <w:t>as the primary source for agencies to report to IRS on the processes, procedures and security controls in place to protect federal tax information (FTI) provided in accordance with IRC 6103(p)(4).</w:t>
      </w:r>
    </w:p>
    <w:p w:rsidR="00FD2885" w:rsidRPr="009122C4" w:rsidRDefault="009559A5" w:rsidP="00933366">
      <w:pPr>
        <w:ind w:left="-270"/>
        <w:rPr>
          <w:rFonts w:ascii="Arial" w:hAnsi="Arial" w:cs="Arial"/>
          <w:sz w:val="24"/>
          <w:szCs w:val="24"/>
        </w:rPr>
      </w:pPr>
      <w:r>
        <w:rPr>
          <w:rFonts w:ascii="Arial" w:hAnsi="Arial" w:cs="Arial"/>
          <w:sz w:val="24"/>
          <w:szCs w:val="24"/>
        </w:rPr>
        <w:t>The Office of Safeguards is deploying t</w:t>
      </w:r>
      <w:r w:rsidR="00C02B73" w:rsidRPr="009122C4">
        <w:rPr>
          <w:rFonts w:ascii="Arial" w:hAnsi="Arial" w:cs="Arial"/>
          <w:sz w:val="24"/>
          <w:szCs w:val="24"/>
        </w:rPr>
        <w:t>he SSR to enhance the documentation and reporting of the security controls in place to protect FTI, and minimize redundant documentation and reporting efforts</w:t>
      </w:r>
      <w:r w:rsidR="009122C4">
        <w:rPr>
          <w:rFonts w:ascii="Arial" w:hAnsi="Arial" w:cs="Arial"/>
          <w:sz w:val="24"/>
          <w:szCs w:val="24"/>
        </w:rPr>
        <w:t xml:space="preserve">, making </w:t>
      </w:r>
      <w:r>
        <w:rPr>
          <w:rFonts w:ascii="Arial" w:hAnsi="Arial" w:cs="Arial"/>
          <w:sz w:val="24"/>
          <w:szCs w:val="24"/>
        </w:rPr>
        <w:t xml:space="preserve">your </w:t>
      </w:r>
      <w:r w:rsidR="009122C4">
        <w:rPr>
          <w:rFonts w:ascii="Arial" w:hAnsi="Arial" w:cs="Arial"/>
          <w:sz w:val="24"/>
          <w:szCs w:val="24"/>
        </w:rPr>
        <w:t>reporting requirements much simpler and less time consuming</w:t>
      </w:r>
      <w:r w:rsidR="00C02B73" w:rsidRPr="009122C4">
        <w:rPr>
          <w:rFonts w:ascii="Arial" w:hAnsi="Arial" w:cs="Arial"/>
          <w:sz w:val="24"/>
          <w:szCs w:val="24"/>
        </w:rPr>
        <w:t>.</w:t>
      </w:r>
    </w:p>
    <w:p w:rsidR="00FD2885" w:rsidRPr="009122C4" w:rsidRDefault="00933366" w:rsidP="00933366">
      <w:pPr>
        <w:autoSpaceDE w:val="0"/>
        <w:autoSpaceDN w:val="0"/>
        <w:adjustRightInd w:val="0"/>
        <w:spacing w:after="0" w:line="240" w:lineRule="auto"/>
        <w:ind w:left="-270"/>
        <w:rPr>
          <w:rFonts w:ascii="Arial" w:hAnsi="Arial" w:cs="Arial"/>
          <w:sz w:val="24"/>
          <w:szCs w:val="24"/>
        </w:rPr>
      </w:pPr>
      <w:r w:rsidRPr="009122C4">
        <w:rPr>
          <w:rFonts w:ascii="Arial" w:hAnsi="Arial" w:cs="Arial"/>
          <w:sz w:val="24"/>
          <w:szCs w:val="24"/>
        </w:rPr>
        <w:t>As you know, a</w:t>
      </w:r>
      <w:r w:rsidR="00FD2885" w:rsidRPr="009122C4">
        <w:rPr>
          <w:rFonts w:ascii="Arial" w:hAnsi="Arial" w:cs="Arial"/>
          <w:sz w:val="24"/>
          <w:szCs w:val="24"/>
        </w:rPr>
        <w:t>gencies executing data exchange agreements involving access to F</w:t>
      </w:r>
      <w:r w:rsidRPr="009122C4">
        <w:rPr>
          <w:rFonts w:ascii="Arial" w:hAnsi="Arial" w:cs="Arial"/>
          <w:sz w:val="24"/>
          <w:szCs w:val="24"/>
        </w:rPr>
        <w:t xml:space="preserve">ederal </w:t>
      </w:r>
      <w:r w:rsidR="00FD2885" w:rsidRPr="009122C4">
        <w:rPr>
          <w:rFonts w:ascii="Arial" w:hAnsi="Arial" w:cs="Arial"/>
          <w:sz w:val="24"/>
          <w:szCs w:val="24"/>
        </w:rPr>
        <w:t>T</w:t>
      </w:r>
      <w:r w:rsidRPr="009122C4">
        <w:rPr>
          <w:rFonts w:ascii="Arial" w:hAnsi="Arial" w:cs="Arial"/>
          <w:sz w:val="24"/>
          <w:szCs w:val="24"/>
        </w:rPr>
        <w:t xml:space="preserve">ax </w:t>
      </w:r>
      <w:r w:rsidR="00FD2885" w:rsidRPr="009122C4">
        <w:rPr>
          <w:rFonts w:ascii="Arial" w:hAnsi="Arial" w:cs="Arial"/>
          <w:sz w:val="24"/>
          <w:szCs w:val="24"/>
        </w:rPr>
        <w:t>I</w:t>
      </w:r>
      <w:r w:rsidRPr="009122C4">
        <w:rPr>
          <w:rFonts w:ascii="Arial" w:hAnsi="Arial" w:cs="Arial"/>
          <w:sz w:val="24"/>
          <w:szCs w:val="24"/>
        </w:rPr>
        <w:t>nformation</w:t>
      </w:r>
      <w:r w:rsidR="00FD2885" w:rsidRPr="009122C4">
        <w:rPr>
          <w:rFonts w:ascii="Arial" w:hAnsi="Arial" w:cs="Arial"/>
          <w:sz w:val="24"/>
          <w:szCs w:val="24"/>
        </w:rPr>
        <w:t xml:space="preserve"> and subject to</w:t>
      </w:r>
      <w:r w:rsidRPr="009122C4">
        <w:rPr>
          <w:rFonts w:ascii="Arial" w:hAnsi="Arial" w:cs="Arial"/>
          <w:sz w:val="24"/>
          <w:szCs w:val="24"/>
        </w:rPr>
        <w:t xml:space="preserve"> </w:t>
      </w:r>
      <w:r w:rsidR="00FD2885" w:rsidRPr="009122C4">
        <w:rPr>
          <w:rFonts w:ascii="Arial" w:hAnsi="Arial" w:cs="Arial"/>
          <w:sz w:val="24"/>
          <w:szCs w:val="24"/>
        </w:rPr>
        <w:t>safeguarding requirements must have an approved SSR prior to having access to FTI.</w:t>
      </w:r>
      <w:r w:rsidR="002F74C5" w:rsidRPr="009122C4">
        <w:rPr>
          <w:rFonts w:ascii="Arial" w:hAnsi="Arial" w:cs="Arial"/>
          <w:sz w:val="24"/>
          <w:szCs w:val="24"/>
        </w:rPr>
        <w:t xml:space="preserve"> Starting on page 35, Section 7 of the attached Publication 1075 outlines Reporting Requirements</w:t>
      </w:r>
      <w:r w:rsidR="002F74C5" w:rsidRPr="009122C4">
        <w:rPr>
          <w:rFonts w:ascii="Arial" w:hAnsi="Arial" w:cs="Arial"/>
          <w:bCs/>
          <w:i/>
          <w:iCs/>
          <w:sz w:val="24"/>
          <w:szCs w:val="24"/>
        </w:rPr>
        <w:t xml:space="preserve"> —</w:t>
      </w:r>
      <w:r w:rsidR="002F74C5" w:rsidRPr="009122C4">
        <w:rPr>
          <w:rFonts w:ascii="Arial" w:hAnsi="Arial" w:cs="Arial"/>
          <w:sz w:val="24"/>
          <w:szCs w:val="24"/>
        </w:rPr>
        <w:t xml:space="preserve"> </w:t>
      </w:r>
      <w:r w:rsidR="002F74C5" w:rsidRPr="009122C4">
        <w:rPr>
          <w:rFonts w:ascii="Arial" w:hAnsi="Arial" w:cs="Arial"/>
          <w:bCs/>
          <w:i/>
          <w:iCs/>
          <w:sz w:val="24"/>
          <w:szCs w:val="24"/>
        </w:rPr>
        <w:t>6103(p)(4)(E)</w:t>
      </w:r>
      <w:r w:rsidR="002F74C5" w:rsidRPr="009122C4">
        <w:rPr>
          <w:rFonts w:ascii="Arial" w:hAnsi="Arial" w:cs="Arial"/>
          <w:sz w:val="24"/>
          <w:szCs w:val="24"/>
        </w:rPr>
        <w:t>:</w:t>
      </w:r>
    </w:p>
    <w:p w:rsidR="00933366" w:rsidRPr="009122C4" w:rsidRDefault="00933366" w:rsidP="00933366">
      <w:pPr>
        <w:autoSpaceDE w:val="0"/>
        <w:autoSpaceDN w:val="0"/>
        <w:adjustRightInd w:val="0"/>
        <w:spacing w:after="0" w:line="240" w:lineRule="auto"/>
        <w:ind w:left="-270"/>
        <w:rPr>
          <w:rFonts w:ascii="Arial" w:hAnsi="Arial" w:cs="Arial"/>
          <w:sz w:val="24"/>
          <w:szCs w:val="24"/>
        </w:rPr>
      </w:pPr>
    </w:p>
    <w:p w:rsidR="00933366" w:rsidRPr="009122C4" w:rsidRDefault="00FD2885" w:rsidP="00933366">
      <w:pPr>
        <w:pStyle w:val="ListParagraph"/>
        <w:numPr>
          <w:ilvl w:val="0"/>
          <w:numId w:val="3"/>
        </w:numPr>
        <w:autoSpaceDE w:val="0"/>
        <w:autoSpaceDN w:val="0"/>
        <w:adjustRightInd w:val="0"/>
        <w:spacing w:after="0"/>
        <w:rPr>
          <w:rFonts w:ascii="Arial" w:hAnsi="Arial" w:cs="Arial"/>
        </w:rPr>
      </w:pPr>
      <w:r w:rsidRPr="009122C4">
        <w:rPr>
          <w:rFonts w:ascii="Arial" w:hAnsi="Arial" w:cs="Arial"/>
        </w:rPr>
        <w:t>The agency should submit the report for approval at least 90 days prior to the agency</w:t>
      </w:r>
      <w:r w:rsidR="00933366" w:rsidRPr="009122C4">
        <w:rPr>
          <w:rFonts w:ascii="Arial" w:hAnsi="Arial" w:cs="Arial"/>
        </w:rPr>
        <w:t xml:space="preserve"> </w:t>
      </w:r>
      <w:r w:rsidRPr="009122C4">
        <w:rPr>
          <w:rFonts w:ascii="Arial" w:hAnsi="Arial" w:cs="Arial"/>
        </w:rPr>
        <w:t xml:space="preserve">receiving FTI. </w:t>
      </w:r>
    </w:p>
    <w:p w:rsidR="00933366" w:rsidRPr="009122C4" w:rsidRDefault="00FD2885" w:rsidP="00933366">
      <w:pPr>
        <w:pStyle w:val="ListParagraph"/>
        <w:numPr>
          <w:ilvl w:val="0"/>
          <w:numId w:val="3"/>
        </w:numPr>
        <w:autoSpaceDE w:val="0"/>
        <w:autoSpaceDN w:val="0"/>
        <w:adjustRightInd w:val="0"/>
        <w:spacing w:after="0"/>
        <w:rPr>
          <w:rFonts w:ascii="Arial" w:hAnsi="Arial" w:cs="Arial"/>
        </w:rPr>
      </w:pPr>
      <w:r w:rsidRPr="009122C4">
        <w:rPr>
          <w:rFonts w:ascii="Arial" w:hAnsi="Arial" w:cs="Arial"/>
        </w:rPr>
        <w:t xml:space="preserve">The agency must update and submit the SSR annually to encompass any changes that impact the protection of FTI. </w:t>
      </w:r>
    </w:p>
    <w:p w:rsidR="00FD2885" w:rsidRPr="009122C4" w:rsidRDefault="00FD2885" w:rsidP="00933366">
      <w:pPr>
        <w:pStyle w:val="ListParagraph"/>
        <w:numPr>
          <w:ilvl w:val="0"/>
          <w:numId w:val="3"/>
        </w:numPr>
        <w:autoSpaceDE w:val="0"/>
        <w:autoSpaceDN w:val="0"/>
        <w:adjustRightInd w:val="0"/>
        <w:spacing w:after="0"/>
        <w:rPr>
          <w:rFonts w:ascii="Arial" w:hAnsi="Arial" w:cs="Arial"/>
        </w:rPr>
      </w:pPr>
      <w:r w:rsidRPr="009122C4">
        <w:rPr>
          <w:rFonts w:ascii="Arial" w:hAnsi="Arial" w:cs="Arial"/>
        </w:rPr>
        <w:t>The SSR submission and all associated attachments must be sent annually to identify cha</w:t>
      </w:r>
      <w:r w:rsidR="00933366" w:rsidRPr="009122C4">
        <w:rPr>
          <w:rFonts w:ascii="Arial" w:hAnsi="Arial" w:cs="Arial"/>
        </w:rPr>
        <w:t>nges to safeguarding procedures.</w:t>
      </w:r>
    </w:p>
    <w:p w:rsidR="009122C4" w:rsidRPr="009122C4" w:rsidRDefault="009122C4" w:rsidP="00933366">
      <w:pPr>
        <w:pStyle w:val="ListParagraph"/>
        <w:numPr>
          <w:ilvl w:val="0"/>
          <w:numId w:val="3"/>
        </w:numPr>
        <w:autoSpaceDE w:val="0"/>
        <w:autoSpaceDN w:val="0"/>
        <w:adjustRightInd w:val="0"/>
        <w:spacing w:after="0"/>
        <w:rPr>
          <w:rFonts w:ascii="Arial" w:hAnsi="Arial" w:cs="Arial"/>
        </w:rPr>
      </w:pPr>
      <w:r w:rsidRPr="009122C4">
        <w:rPr>
          <w:rFonts w:ascii="Arial" w:hAnsi="Arial" w:cs="Arial"/>
        </w:rPr>
        <w:t>Correspondence, reports, and attachments will continue to be sent electronically to the Office of Safeguards using Secure Data Transfer (SDT), if the agency participates in the SDT program. If the agency does not participate in SDT or SDT is otherwise not available, these transmissions should be sent via email to the SafeguardReports@irs.gov mailbox.</w:t>
      </w:r>
    </w:p>
    <w:p w:rsidR="002F74C5" w:rsidRPr="009122C4" w:rsidRDefault="002F74C5" w:rsidP="002F74C5">
      <w:pPr>
        <w:autoSpaceDE w:val="0"/>
        <w:autoSpaceDN w:val="0"/>
        <w:adjustRightInd w:val="0"/>
        <w:spacing w:after="0"/>
        <w:rPr>
          <w:rFonts w:ascii="Arial" w:hAnsi="Arial" w:cs="Arial"/>
          <w:sz w:val="24"/>
          <w:szCs w:val="24"/>
        </w:rPr>
      </w:pPr>
    </w:p>
    <w:p w:rsidR="009122C4" w:rsidRDefault="00205BA2" w:rsidP="002F74C5">
      <w:pPr>
        <w:autoSpaceDE w:val="0"/>
        <w:autoSpaceDN w:val="0"/>
        <w:adjustRightInd w:val="0"/>
        <w:spacing w:after="0"/>
        <w:ind w:left="-270"/>
        <w:rPr>
          <w:rFonts w:ascii="Arial" w:hAnsi="Arial" w:cs="Arial"/>
          <w:sz w:val="24"/>
          <w:szCs w:val="24"/>
        </w:rPr>
      </w:pPr>
      <w:r w:rsidRPr="009122C4">
        <w:rPr>
          <w:rFonts w:ascii="Arial" w:hAnsi="Arial" w:cs="Arial"/>
          <w:sz w:val="24"/>
          <w:szCs w:val="24"/>
        </w:rPr>
        <w:t>W</w:t>
      </w:r>
      <w:r w:rsidR="0061131A" w:rsidRPr="009122C4">
        <w:rPr>
          <w:rFonts w:ascii="Arial" w:hAnsi="Arial" w:cs="Arial"/>
          <w:sz w:val="24"/>
          <w:szCs w:val="24"/>
        </w:rPr>
        <w:t xml:space="preserve">e </w:t>
      </w:r>
      <w:r w:rsidR="002F74C5" w:rsidRPr="009122C4">
        <w:rPr>
          <w:rFonts w:ascii="Arial" w:hAnsi="Arial" w:cs="Arial"/>
          <w:sz w:val="24"/>
          <w:szCs w:val="24"/>
        </w:rPr>
        <w:t>know from the number of inquiries we’ve already received that you are anxious to get a head start on your SSR, particularly if your agency is scheduled to submit its SSR in the first thre</w:t>
      </w:r>
      <w:r w:rsidR="009122C4">
        <w:rPr>
          <w:rFonts w:ascii="Arial" w:hAnsi="Arial" w:cs="Arial"/>
          <w:sz w:val="24"/>
          <w:szCs w:val="24"/>
        </w:rPr>
        <w:t>e months of the year</w:t>
      </w:r>
      <w:r w:rsidR="002F74C5" w:rsidRPr="009122C4">
        <w:rPr>
          <w:rFonts w:ascii="Arial" w:hAnsi="Arial" w:cs="Arial"/>
          <w:sz w:val="24"/>
          <w:szCs w:val="24"/>
        </w:rPr>
        <w:t xml:space="preserve">.  </w:t>
      </w:r>
    </w:p>
    <w:p w:rsidR="009122C4" w:rsidRDefault="009122C4" w:rsidP="002F74C5">
      <w:pPr>
        <w:autoSpaceDE w:val="0"/>
        <w:autoSpaceDN w:val="0"/>
        <w:adjustRightInd w:val="0"/>
        <w:spacing w:after="0"/>
        <w:ind w:left="-270"/>
        <w:rPr>
          <w:rFonts w:ascii="Arial" w:hAnsi="Arial" w:cs="Arial"/>
          <w:sz w:val="24"/>
          <w:szCs w:val="24"/>
        </w:rPr>
      </w:pPr>
    </w:p>
    <w:p w:rsidR="009122C4" w:rsidRDefault="009122C4" w:rsidP="002F74C5">
      <w:pPr>
        <w:autoSpaceDE w:val="0"/>
        <w:autoSpaceDN w:val="0"/>
        <w:adjustRightInd w:val="0"/>
        <w:spacing w:after="0"/>
        <w:ind w:left="-270"/>
        <w:rPr>
          <w:rFonts w:ascii="Arial" w:hAnsi="Arial" w:cs="Arial"/>
          <w:sz w:val="24"/>
          <w:szCs w:val="24"/>
        </w:rPr>
      </w:pPr>
    </w:p>
    <w:p w:rsidR="002F74C5" w:rsidRPr="009122C4" w:rsidRDefault="009122C4" w:rsidP="00CD4C42">
      <w:pPr>
        <w:autoSpaceDE w:val="0"/>
        <w:autoSpaceDN w:val="0"/>
        <w:adjustRightInd w:val="0"/>
        <w:spacing w:after="0"/>
        <w:ind w:left="-270"/>
        <w:jc w:val="center"/>
        <w:rPr>
          <w:rFonts w:ascii="Arial" w:hAnsi="Arial" w:cs="Arial"/>
          <w:sz w:val="24"/>
          <w:szCs w:val="24"/>
        </w:rPr>
      </w:pPr>
      <w:r>
        <w:rPr>
          <w:rFonts w:ascii="Arial" w:hAnsi="Arial" w:cs="Arial"/>
          <w:sz w:val="24"/>
          <w:szCs w:val="24"/>
        </w:rPr>
        <w:t>SSR due dates:</w:t>
      </w:r>
    </w:p>
    <w:p w:rsidR="0061131A" w:rsidRDefault="0061131A" w:rsidP="002F74C5">
      <w:pPr>
        <w:autoSpaceDE w:val="0"/>
        <w:autoSpaceDN w:val="0"/>
        <w:adjustRightInd w:val="0"/>
        <w:spacing w:after="0"/>
        <w:ind w:left="-270"/>
        <w:rPr>
          <w:rFonts w:ascii="Arial" w:hAnsi="Arial" w:cs="Arial"/>
          <w:sz w:val="24"/>
          <w:szCs w:val="24"/>
        </w:rPr>
      </w:pPr>
    </w:p>
    <w:tbl>
      <w:tblPr>
        <w:tblStyle w:val="TableGrid"/>
        <w:tblW w:w="0" w:type="auto"/>
        <w:tblLook w:val="04A0" w:firstRow="1" w:lastRow="0" w:firstColumn="1" w:lastColumn="0" w:noHBand="0" w:noVBand="1"/>
      </w:tblPr>
      <w:tblGrid>
        <w:gridCol w:w="3192"/>
        <w:gridCol w:w="3666"/>
        <w:gridCol w:w="2718"/>
      </w:tblGrid>
      <w:tr w:rsidR="009122C4" w:rsidRPr="00F56AE2" w:rsidTr="001A43F3">
        <w:trPr>
          <w:trHeight w:val="728"/>
        </w:trPr>
        <w:tc>
          <w:tcPr>
            <w:tcW w:w="3192" w:type="dxa"/>
            <w:shd w:val="clear" w:color="auto" w:fill="C0C0C0"/>
            <w:tcMar>
              <w:top w:w="29" w:type="dxa"/>
              <w:left w:w="115" w:type="dxa"/>
              <w:bottom w:w="29" w:type="dxa"/>
              <w:right w:w="115" w:type="dxa"/>
            </w:tcMar>
            <w:vAlign w:val="center"/>
          </w:tcPr>
          <w:p w:rsidR="009122C4" w:rsidRPr="00F56AE2" w:rsidRDefault="009122C4" w:rsidP="001A43F3">
            <w:pPr>
              <w:ind w:left="-198" w:firstLine="198"/>
              <w:jc w:val="center"/>
              <w:rPr>
                <w:rFonts w:cstheme="minorHAnsi"/>
                <w:b/>
                <w:bCs/>
                <w:color w:val="000000"/>
              </w:rPr>
            </w:pPr>
          </w:p>
        </w:tc>
        <w:tc>
          <w:tcPr>
            <w:tcW w:w="3666" w:type="dxa"/>
            <w:shd w:val="clear" w:color="auto" w:fill="C0C0C0"/>
            <w:tcMar>
              <w:top w:w="29" w:type="dxa"/>
              <w:left w:w="115" w:type="dxa"/>
              <w:bottom w:w="29" w:type="dxa"/>
              <w:right w:w="115" w:type="dxa"/>
            </w:tcMar>
            <w:vAlign w:val="center"/>
          </w:tcPr>
          <w:p w:rsidR="009122C4" w:rsidRPr="00F56AE2" w:rsidRDefault="009122C4" w:rsidP="001A43F3">
            <w:pPr>
              <w:ind w:left="-198" w:firstLine="198"/>
              <w:jc w:val="center"/>
              <w:rPr>
                <w:rFonts w:cstheme="minorHAnsi"/>
                <w:b/>
                <w:bCs/>
                <w:color w:val="000000"/>
              </w:rPr>
            </w:pPr>
            <w:r w:rsidRPr="00F56AE2">
              <w:rPr>
                <w:rFonts w:cstheme="minorHAnsi"/>
                <w:b/>
                <w:bCs/>
                <w:color w:val="000000"/>
              </w:rPr>
              <w:t>Reporting Period</w:t>
            </w:r>
          </w:p>
        </w:tc>
        <w:tc>
          <w:tcPr>
            <w:tcW w:w="2718" w:type="dxa"/>
            <w:shd w:val="clear" w:color="auto" w:fill="C0C0C0"/>
            <w:tcMar>
              <w:top w:w="29" w:type="dxa"/>
              <w:left w:w="115" w:type="dxa"/>
              <w:bottom w:w="29" w:type="dxa"/>
              <w:right w:w="115" w:type="dxa"/>
            </w:tcMar>
            <w:vAlign w:val="center"/>
          </w:tcPr>
          <w:p w:rsidR="009122C4" w:rsidRPr="00F56AE2" w:rsidRDefault="009122C4" w:rsidP="001A43F3">
            <w:pPr>
              <w:ind w:left="-198" w:firstLine="198"/>
              <w:jc w:val="center"/>
              <w:rPr>
                <w:rFonts w:cstheme="minorHAnsi"/>
                <w:b/>
                <w:bCs/>
                <w:color w:val="000000"/>
              </w:rPr>
            </w:pPr>
            <w:r w:rsidRPr="00F56AE2">
              <w:rPr>
                <w:rFonts w:cstheme="minorHAnsi"/>
                <w:b/>
                <w:bCs/>
                <w:color w:val="000000"/>
              </w:rPr>
              <w:t>SSR Due</w:t>
            </w:r>
          </w:p>
        </w:tc>
      </w:tr>
      <w:tr w:rsidR="009122C4" w:rsidRPr="00F56AE2" w:rsidTr="001A43F3">
        <w:trPr>
          <w:trHeight w:val="530"/>
        </w:trPr>
        <w:tc>
          <w:tcPr>
            <w:tcW w:w="9576" w:type="dxa"/>
            <w:gridSpan w:val="3"/>
            <w:tcMar>
              <w:top w:w="29" w:type="dxa"/>
              <w:left w:w="115" w:type="dxa"/>
              <w:bottom w:w="29" w:type="dxa"/>
              <w:right w:w="115" w:type="dxa"/>
            </w:tcMar>
            <w:vAlign w:val="center"/>
          </w:tcPr>
          <w:p w:rsidR="009122C4" w:rsidRPr="00F56AE2" w:rsidRDefault="009122C4" w:rsidP="001A43F3">
            <w:pPr>
              <w:autoSpaceDE w:val="0"/>
              <w:autoSpaceDN w:val="0"/>
              <w:adjustRightInd w:val="0"/>
              <w:jc w:val="center"/>
              <w:rPr>
                <w:rFonts w:cstheme="minorHAnsi"/>
                <w:b/>
                <w:bCs/>
                <w:sz w:val="23"/>
                <w:szCs w:val="23"/>
              </w:rPr>
            </w:pPr>
            <w:r w:rsidRPr="00F56AE2">
              <w:rPr>
                <w:rFonts w:cstheme="minorHAnsi"/>
                <w:b/>
                <w:bCs/>
                <w:sz w:val="23"/>
                <w:szCs w:val="23"/>
              </w:rPr>
              <w:t xml:space="preserve">Federal </w:t>
            </w:r>
            <w:r>
              <w:rPr>
                <w:rFonts w:cstheme="minorHAnsi"/>
                <w:b/>
                <w:bCs/>
                <w:sz w:val="23"/>
                <w:szCs w:val="23"/>
              </w:rPr>
              <w:t>agencies</w:t>
            </w:r>
          </w:p>
        </w:tc>
      </w:tr>
      <w:tr w:rsidR="009122C4" w:rsidRPr="00F56AE2" w:rsidTr="001A43F3">
        <w:tc>
          <w:tcPr>
            <w:tcW w:w="3192"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 xml:space="preserve">All Federal </w:t>
            </w:r>
            <w:r>
              <w:rPr>
                <w:rFonts w:cstheme="minorHAnsi"/>
                <w:color w:val="000000"/>
              </w:rPr>
              <w:t>agencies</w:t>
            </w:r>
          </w:p>
        </w:tc>
        <w:tc>
          <w:tcPr>
            <w:tcW w:w="3666"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January 1 through December 31</w:t>
            </w:r>
          </w:p>
        </w:tc>
        <w:tc>
          <w:tcPr>
            <w:tcW w:w="2718" w:type="dxa"/>
            <w:tcMar>
              <w:top w:w="29" w:type="dxa"/>
              <w:left w:w="115" w:type="dxa"/>
              <w:bottom w:w="29" w:type="dxa"/>
              <w:right w:w="115" w:type="dxa"/>
            </w:tcMar>
          </w:tcPr>
          <w:p w:rsidR="009122C4" w:rsidRDefault="009122C4" w:rsidP="001A43F3">
            <w:pPr>
              <w:rPr>
                <w:rFonts w:cstheme="minorHAnsi"/>
                <w:color w:val="000000"/>
              </w:rPr>
            </w:pPr>
            <w:r w:rsidRPr="00F56AE2">
              <w:rPr>
                <w:rFonts w:cstheme="minorHAnsi"/>
                <w:color w:val="000000"/>
              </w:rPr>
              <w:t>January 31</w:t>
            </w:r>
          </w:p>
          <w:p w:rsidR="009122C4" w:rsidRPr="00F56AE2" w:rsidRDefault="009122C4" w:rsidP="001A43F3">
            <w:pPr>
              <w:rPr>
                <w:rFonts w:cstheme="minorHAnsi"/>
                <w:color w:val="000000"/>
              </w:rPr>
            </w:pPr>
            <w:r w:rsidRPr="000F40AB">
              <w:rPr>
                <w:rFonts w:cstheme="minorHAnsi"/>
                <w:color w:val="000000"/>
                <w:highlight w:val="yellow"/>
              </w:rPr>
              <w:t>(2014 only: March 15)</w:t>
            </w:r>
          </w:p>
        </w:tc>
      </w:tr>
      <w:tr w:rsidR="009122C4" w:rsidRPr="00F56AE2" w:rsidTr="001A43F3">
        <w:trPr>
          <w:trHeight w:val="521"/>
        </w:trPr>
        <w:tc>
          <w:tcPr>
            <w:tcW w:w="9576" w:type="dxa"/>
            <w:gridSpan w:val="3"/>
            <w:tcMar>
              <w:top w:w="29" w:type="dxa"/>
              <w:left w:w="115" w:type="dxa"/>
              <w:bottom w:w="29" w:type="dxa"/>
              <w:right w:w="115" w:type="dxa"/>
            </w:tcMar>
            <w:vAlign w:val="center"/>
          </w:tcPr>
          <w:p w:rsidR="009122C4" w:rsidRPr="00F56AE2" w:rsidRDefault="009122C4" w:rsidP="001A43F3">
            <w:pPr>
              <w:autoSpaceDE w:val="0"/>
              <w:autoSpaceDN w:val="0"/>
              <w:adjustRightInd w:val="0"/>
              <w:jc w:val="center"/>
              <w:rPr>
                <w:rFonts w:cstheme="minorHAnsi"/>
                <w:b/>
                <w:bCs/>
                <w:sz w:val="23"/>
                <w:szCs w:val="23"/>
              </w:rPr>
            </w:pPr>
            <w:r w:rsidRPr="00F56AE2">
              <w:rPr>
                <w:rFonts w:cstheme="minorHAnsi"/>
                <w:b/>
                <w:bCs/>
                <w:sz w:val="23"/>
                <w:szCs w:val="23"/>
              </w:rPr>
              <w:t xml:space="preserve">All State </w:t>
            </w:r>
            <w:r>
              <w:rPr>
                <w:rFonts w:cstheme="minorHAnsi"/>
                <w:b/>
                <w:bCs/>
                <w:sz w:val="23"/>
                <w:szCs w:val="23"/>
              </w:rPr>
              <w:t>agencies</w:t>
            </w:r>
            <w:r w:rsidRPr="00F56AE2">
              <w:rPr>
                <w:rFonts w:cstheme="minorHAnsi"/>
                <w:b/>
                <w:bCs/>
                <w:sz w:val="23"/>
                <w:szCs w:val="23"/>
              </w:rPr>
              <w:t xml:space="preserve"> and Territories</w:t>
            </w:r>
          </w:p>
        </w:tc>
      </w:tr>
      <w:tr w:rsidR="009122C4" w:rsidRPr="00F56AE2" w:rsidTr="001A43F3">
        <w:tc>
          <w:tcPr>
            <w:tcW w:w="3192"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AK, AL, AR, AS, AZ, CA</w:t>
            </w:r>
          </w:p>
        </w:tc>
        <w:tc>
          <w:tcPr>
            <w:tcW w:w="3666"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February 1 through January 31</w:t>
            </w:r>
          </w:p>
        </w:tc>
        <w:tc>
          <w:tcPr>
            <w:tcW w:w="2718" w:type="dxa"/>
            <w:tcMar>
              <w:top w:w="29" w:type="dxa"/>
              <w:left w:w="115" w:type="dxa"/>
              <w:bottom w:w="29" w:type="dxa"/>
              <w:right w:w="115" w:type="dxa"/>
            </w:tcMar>
          </w:tcPr>
          <w:p w:rsidR="009122C4" w:rsidRDefault="009122C4" w:rsidP="001A43F3">
            <w:pPr>
              <w:rPr>
                <w:rFonts w:cstheme="minorHAnsi"/>
                <w:color w:val="000000"/>
              </w:rPr>
            </w:pPr>
            <w:r w:rsidRPr="00F56AE2">
              <w:rPr>
                <w:rFonts w:cstheme="minorHAnsi"/>
                <w:color w:val="000000"/>
              </w:rPr>
              <w:t>February 28</w:t>
            </w:r>
          </w:p>
          <w:p w:rsidR="009122C4" w:rsidRPr="00F56AE2" w:rsidRDefault="009122C4" w:rsidP="001A43F3">
            <w:pPr>
              <w:rPr>
                <w:rFonts w:cstheme="minorHAnsi"/>
                <w:color w:val="000000"/>
              </w:rPr>
            </w:pPr>
            <w:r w:rsidRPr="000F40AB">
              <w:rPr>
                <w:rFonts w:cstheme="minorHAnsi"/>
                <w:color w:val="000000"/>
                <w:highlight w:val="yellow"/>
              </w:rPr>
              <w:t>(2014 only: March 30)</w:t>
            </w:r>
          </w:p>
        </w:tc>
      </w:tr>
      <w:tr w:rsidR="009122C4" w:rsidRPr="00F56AE2" w:rsidTr="001A43F3">
        <w:tc>
          <w:tcPr>
            <w:tcW w:w="3192"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CNMI, CO CT DC, DE, FL, GA</w:t>
            </w:r>
          </w:p>
        </w:tc>
        <w:tc>
          <w:tcPr>
            <w:tcW w:w="3666"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March 1 through February 28</w:t>
            </w:r>
          </w:p>
        </w:tc>
        <w:tc>
          <w:tcPr>
            <w:tcW w:w="2718" w:type="dxa"/>
            <w:tcMar>
              <w:top w:w="29" w:type="dxa"/>
              <w:left w:w="115" w:type="dxa"/>
              <w:bottom w:w="29" w:type="dxa"/>
              <w:right w:w="115" w:type="dxa"/>
            </w:tcMar>
          </w:tcPr>
          <w:p w:rsidR="009122C4" w:rsidRDefault="009122C4" w:rsidP="001A43F3">
            <w:pPr>
              <w:rPr>
                <w:rFonts w:cstheme="minorHAnsi"/>
                <w:color w:val="000000"/>
              </w:rPr>
            </w:pPr>
            <w:r w:rsidRPr="00F56AE2">
              <w:rPr>
                <w:rFonts w:cstheme="minorHAnsi"/>
                <w:color w:val="000000"/>
              </w:rPr>
              <w:t>March 31</w:t>
            </w:r>
          </w:p>
          <w:p w:rsidR="009122C4" w:rsidRPr="00F56AE2" w:rsidRDefault="009122C4" w:rsidP="001A43F3">
            <w:pPr>
              <w:rPr>
                <w:rFonts w:cstheme="minorHAnsi"/>
                <w:color w:val="000000"/>
              </w:rPr>
            </w:pPr>
            <w:r w:rsidRPr="000F40AB">
              <w:rPr>
                <w:rFonts w:cstheme="minorHAnsi"/>
                <w:color w:val="000000"/>
                <w:highlight w:val="yellow"/>
              </w:rPr>
              <w:t>(2014 only: April 15)</w:t>
            </w:r>
          </w:p>
        </w:tc>
      </w:tr>
      <w:tr w:rsidR="009122C4" w:rsidRPr="00F56AE2" w:rsidTr="001A43F3">
        <w:tc>
          <w:tcPr>
            <w:tcW w:w="3192"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GU, HI, IA, ID, IL, IN, KS</w:t>
            </w:r>
          </w:p>
        </w:tc>
        <w:tc>
          <w:tcPr>
            <w:tcW w:w="3666"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April 1 through March 31</w:t>
            </w:r>
          </w:p>
        </w:tc>
        <w:tc>
          <w:tcPr>
            <w:tcW w:w="2718"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April 30</w:t>
            </w:r>
          </w:p>
        </w:tc>
      </w:tr>
      <w:tr w:rsidR="009122C4" w:rsidRPr="00F56AE2" w:rsidTr="001A43F3">
        <w:tc>
          <w:tcPr>
            <w:tcW w:w="3192"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KY, LA, MA, MD, ME, MI</w:t>
            </w:r>
          </w:p>
        </w:tc>
        <w:tc>
          <w:tcPr>
            <w:tcW w:w="3666"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May 1 through April 30</w:t>
            </w:r>
          </w:p>
        </w:tc>
        <w:tc>
          <w:tcPr>
            <w:tcW w:w="2718"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May 30</w:t>
            </w:r>
          </w:p>
        </w:tc>
      </w:tr>
      <w:tr w:rsidR="009122C4" w:rsidRPr="00F56AE2" w:rsidTr="001A43F3">
        <w:tc>
          <w:tcPr>
            <w:tcW w:w="3192"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MN, MO, MS, MT, NE</w:t>
            </w:r>
          </w:p>
        </w:tc>
        <w:tc>
          <w:tcPr>
            <w:tcW w:w="3666"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June 1 through May 31</w:t>
            </w:r>
          </w:p>
        </w:tc>
        <w:tc>
          <w:tcPr>
            <w:tcW w:w="2718"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June 30</w:t>
            </w:r>
          </w:p>
        </w:tc>
      </w:tr>
      <w:tr w:rsidR="009122C4" w:rsidRPr="00F56AE2" w:rsidTr="001A43F3">
        <w:tc>
          <w:tcPr>
            <w:tcW w:w="3192"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NC, NH, NJ, NM, NV, NY</w:t>
            </w:r>
          </w:p>
        </w:tc>
        <w:tc>
          <w:tcPr>
            <w:tcW w:w="3666"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July 1 through June 30</w:t>
            </w:r>
          </w:p>
        </w:tc>
        <w:tc>
          <w:tcPr>
            <w:tcW w:w="2718"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July 31</w:t>
            </w:r>
          </w:p>
        </w:tc>
      </w:tr>
      <w:tr w:rsidR="009122C4" w:rsidRPr="00F56AE2" w:rsidTr="001A43F3">
        <w:tc>
          <w:tcPr>
            <w:tcW w:w="3192"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ND, OH, OK, OR</w:t>
            </w:r>
          </w:p>
        </w:tc>
        <w:tc>
          <w:tcPr>
            <w:tcW w:w="3666"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August 1 through July 31</w:t>
            </w:r>
          </w:p>
        </w:tc>
        <w:tc>
          <w:tcPr>
            <w:tcW w:w="2718"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August 31</w:t>
            </w:r>
          </w:p>
        </w:tc>
      </w:tr>
      <w:tr w:rsidR="009122C4" w:rsidRPr="00F56AE2" w:rsidTr="001A43F3">
        <w:tc>
          <w:tcPr>
            <w:tcW w:w="3192"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PA, PR, RI, SC, SD, TN</w:t>
            </w:r>
          </w:p>
        </w:tc>
        <w:tc>
          <w:tcPr>
            <w:tcW w:w="3666"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September 1 through August 31</w:t>
            </w:r>
          </w:p>
        </w:tc>
        <w:tc>
          <w:tcPr>
            <w:tcW w:w="2718"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September 30</w:t>
            </w:r>
          </w:p>
        </w:tc>
      </w:tr>
      <w:tr w:rsidR="009122C4" w:rsidRPr="00F56AE2" w:rsidTr="001A43F3">
        <w:tc>
          <w:tcPr>
            <w:tcW w:w="3192"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TX, UT, VA, VI, VT, WA</w:t>
            </w:r>
          </w:p>
        </w:tc>
        <w:tc>
          <w:tcPr>
            <w:tcW w:w="3666"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October 1 through September 30</w:t>
            </w:r>
          </w:p>
        </w:tc>
        <w:tc>
          <w:tcPr>
            <w:tcW w:w="2718"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October 31</w:t>
            </w:r>
          </w:p>
        </w:tc>
      </w:tr>
      <w:tr w:rsidR="009122C4" w:rsidRPr="00F56AE2" w:rsidTr="001A43F3">
        <w:tc>
          <w:tcPr>
            <w:tcW w:w="3192"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WI, WV, WY</w:t>
            </w:r>
          </w:p>
        </w:tc>
        <w:tc>
          <w:tcPr>
            <w:tcW w:w="3666"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November 1 through October 31</w:t>
            </w:r>
          </w:p>
        </w:tc>
        <w:tc>
          <w:tcPr>
            <w:tcW w:w="2718" w:type="dxa"/>
            <w:tcMar>
              <w:top w:w="29" w:type="dxa"/>
              <w:left w:w="115" w:type="dxa"/>
              <w:bottom w:w="29" w:type="dxa"/>
              <w:right w:w="115" w:type="dxa"/>
            </w:tcMar>
          </w:tcPr>
          <w:p w:rsidR="009122C4" w:rsidRPr="00F56AE2" w:rsidRDefault="009122C4" w:rsidP="001A43F3">
            <w:pPr>
              <w:rPr>
                <w:rFonts w:cstheme="minorHAnsi"/>
                <w:color w:val="000000"/>
              </w:rPr>
            </w:pPr>
            <w:r w:rsidRPr="00F56AE2">
              <w:rPr>
                <w:rFonts w:cstheme="minorHAnsi"/>
                <w:color w:val="000000"/>
              </w:rPr>
              <w:t>November 30</w:t>
            </w:r>
          </w:p>
        </w:tc>
      </w:tr>
    </w:tbl>
    <w:p w:rsidR="009122C4" w:rsidRPr="009122C4" w:rsidRDefault="009122C4" w:rsidP="002F74C5">
      <w:pPr>
        <w:autoSpaceDE w:val="0"/>
        <w:autoSpaceDN w:val="0"/>
        <w:adjustRightInd w:val="0"/>
        <w:spacing w:after="0"/>
        <w:ind w:left="-270"/>
        <w:rPr>
          <w:rFonts w:ascii="Arial" w:hAnsi="Arial" w:cs="Arial"/>
          <w:sz w:val="24"/>
          <w:szCs w:val="24"/>
        </w:rPr>
      </w:pPr>
    </w:p>
    <w:p w:rsidR="00205BA2" w:rsidRPr="009122C4" w:rsidRDefault="00205BA2" w:rsidP="00205BA2">
      <w:pPr>
        <w:ind w:left="-270"/>
        <w:rPr>
          <w:rFonts w:ascii="Arial" w:hAnsi="Arial" w:cs="Arial"/>
          <w:sz w:val="24"/>
          <w:szCs w:val="24"/>
        </w:rPr>
      </w:pPr>
      <w:r w:rsidRPr="009122C4">
        <w:rPr>
          <w:rFonts w:ascii="Arial" w:hAnsi="Arial" w:cs="Arial"/>
          <w:sz w:val="24"/>
          <w:szCs w:val="24"/>
        </w:rPr>
        <w:t xml:space="preserve">Our goal is to partner with agencies to facilitate a successful transition to the SSR through close collaboration. The IRS Office of Safeguards SSR team will be available to support the transition to SSR.  </w:t>
      </w:r>
    </w:p>
    <w:p w:rsidR="005E4DD4" w:rsidRPr="009122C4" w:rsidRDefault="005E4DD4" w:rsidP="00205BA2">
      <w:pPr>
        <w:ind w:left="-270"/>
        <w:rPr>
          <w:rFonts w:ascii="Arial" w:hAnsi="Arial" w:cs="Arial"/>
          <w:sz w:val="24"/>
          <w:szCs w:val="24"/>
        </w:rPr>
      </w:pPr>
      <w:r w:rsidRPr="009122C4">
        <w:rPr>
          <w:rFonts w:ascii="Arial" w:hAnsi="Arial" w:cs="Arial"/>
          <w:sz w:val="24"/>
          <w:szCs w:val="24"/>
        </w:rPr>
        <w:t>We</w:t>
      </w:r>
      <w:r w:rsidR="00205BA2" w:rsidRPr="009122C4">
        <w:rPr>
          <w:rFonts w:ascii="Arial" w:hAnsi="Arial" w:cs="Arial"/>
          <w:sz w:val="24"/>
          <w:szCs w:val="24"/>
        </w:rPr>
        <w:t xml:space="preserve"> will host bimonthly </w:t>
      </w:r>
      <w:r w:rsidR="00205BA2" w:rsidRPr="009122C4">
        <w:rPr>
          <w:rFonts w:ascii="Arial" w:hAnsi="Arial" w:cs="Arial"/>
          <w:i/>
          <w:sz w:val="24"/>
          <w:szCs w:val="24"/>
        </w:rPr>
        <w:t>office hours</w:t>
      </w:r>
      <w:r w:rsidR="00205BA2" w:rsidRPr="009122C4">
        <w:rPr>
          <w:rFonts w:ascii="Arial" w:hAnsi="Arial" w:cs="Arial"/>
          <w:sz w:val="24"/>
          <w:szCs w:val="24"/>
        </w:rPr>
        <w:t xml:space="preserve"> </w:t>
      </w:r>
      <w:r w:rsidRPr="009122C4">
        <w:rPr>
          <w:rFonts w:ascii="Arial" w:hAnsi="Arial" w:cs="Arial"/>
          <w:sz w:val="24"/>
          <w:szCs w:val="24"/>
        </w:rPr>
        <w:t xml:space="preserve">during February and March and then monthly </w:t>
      </w:r>
      <w:r w:rsidRPr="009122C4">
        <w:rPr>
          <w:rFonts w:ascii="Arial" w:hAnsi="Arial" w:cs="Arial"/>
          <w:i/>
          <w:sz w:val="24"/>
          <w:szCs w:val="24"/>
        </w:rPr>
        <w:t>office hours</w:t>
      </w:r>
      <w:r w:rsidRPr="009122C4">
        <w:rPr>
          <w:rFonts w:ascii="Arial" w:hAnsi="Arial" w:cs="Arial"/>
          <w:sz w:val="24"/>
          <w:szCs w:val="24"/>
        </w:rPr>
        <w:t xml:space="preserve"> between April and November on the schedule below </w:t>
      </w:r>
      <w:r w:rsidR="00205BA2" w:rsidRPr="009122C4">
        <w:rPr>
          <w:rFonts w:ascii="Arial" w:hAnsi="Arial" w:cs="Arial"/>
          <w:sz w:val="24"/>
          <w:szCs w:val="24"/>
        </w:rPr>
        <w:t xml:space="preserve">for agencies to ask questions and provide feedback on the deployment and transition to SSRs.  </w:t>
      </w:r>
    </w:p>
    <w:p w:rsidR="00205BA2" w:rsidRPr="009122C4" w:rsidRDefault="00205BA2" w:rsidP="005E4DD4">
      <w:pPr>
        <w:ind w:left="-270"/>
        <w:rPr>
          <w:rFonts w:ascii="Arial" w:hAnsi="Arial" w:cs="Arial"/>
          <w:b/>
          <w:sz w:val="24"/>
          <w:szCs w:val="24"/>
        </w:rPr>
      </w:pPr>
      <w:r w:rsidRPr="009122C4">
        <w:rPr>
          <w:rFonts w:ascii="Arial" w:hAnsi="Arial" w:cs="Arial"/>
          <w:b/>
          <w:sz w:val="24"/>
          <w:szCs w:val="24"/>
        </w:rPr>
        <w:t xml:space="preserve">Office </w:t>
      </w:r>
      <w:proofErr w:type="gramStart"/>
      <w:r w:rsidRPr="009122C4">
        <w:rPr>
          <w:rFonts w:ascii="Arial" w:hAnsi="Arial" w:cs="Arial"/>
          <w:b/>
          <w:sz w:val="24"/>
          <w:szCs w:val="24"/>
        </w:rPr>
        <w:t>hours</w:t>
      </w:r>
      <w:proofErr w:type="gramEnd"/>
      <w:r w:rsidRPr="009122C4">
        <w:rPr>
          <w:rFonts w:ascii="Arial" w:hAnsi="Arial" w:cs="Arial"/>
          <w:b/>
          <w:sz w:val="24"/>
          <w:szCs w:val="24"/>
        </w:rPr>
        <w:t xml:space="preserve"> calls will be available through conference line at 877-885-1087, with access code 4931651947</w:t>
      </w:r>
      <w:r w:rsidR="005E4DD4" w:rsidRPr="009122C4">
        <w:rPr>
          <w:rFonts w:ascii="Arial" w:hAnsi="Arial" w:cs="Arial"/>
          <w:b/>
          <w:sz w:val="24"/>
          <w:szCs w:val="24"/>
        </w:rPr>
        <w:t xml:space="preserve"> as follows:</w:t>
      </w:r>
    </w:p>
    <w:p w:rsidR="005E4DD4" w:rsidRDefault="00205BA2" w:rsidP="005E4DD4">
      <w:pPr>
        <w:pStyle w:val="ListParagraph"/>
        <w:numPr>
          <w:ilvl w:val="0"/>
          <w:numId w:val="5"/>
        </w:numPr>
        <w:rPr>
          <w:rFonts w:ascii="Arial" w:hAnsi="Arial" w:cs="Arial"/>
        </w:rPr>
      </w:pPr>
      <w:r w:rsidRPr="009122C4">
        <w:rPr>
          <w:rFonts w:ascii="Arial" w:hAnsi="Arial" w:cs="Arial"/>
        </w:rPr>
        <w:t>February 11, 3-4</w:t>
      </w:r>
      <w:r w:rsidR="005E4DD4" w:rsidRPr="009122C4">
        <w:rPr>
          <w:rFonts w:ascii="Arial" w:hAnsi="Arial" w:cs="Arial"/>
        </w:rPr>
        <w:t xml:space="preserve"> </w:t>
      </w:r>
      <w:r w:rsidRPr="009122C4">
        <w:rPr>
          <w:rFonts w:ascii="Arial" w:hAnsi="Arial" w:cs="Arial"/>
        </w:rPr>
        <w:t>p</w:t>
      </w:r>
      <w:r w:rsidR="005E4DD4" w:rsidRPr="009122C4">
        <w:rPr>
          <w:rFonts w:ascii="Arial" w:hAnsi="Arial" w:cs="Arial"/>
        </w:rPr>
        <w:t>.</w:t>
      </w:r>
      <w:r w:rsidRPr="009122C4">
        <w:rPr>
          <w:rFonts w:ascii="Arial" w:hAnsi="Arial" w:cs="Arial"/>
        </w:rPr>
        <w:t>m</w:t>
      </w:r>
      <w:r w:rsidR="005E4DD4" w:rsidRPr="009122C4">
        <w:rPr>
          <w:rFonts w:ascii="Arial" w:hAnsi="Arial" w:cs="Arial"/>
        </w:rPr>
        <w:t>.</w:t>
      </w:r>
      <w:r w:rsidRPr="009122C4">
        <w:rPr>
          <w:rFonts w:ascii="Arial" w:hAnsi="Arial" w:cs="Arial"/>
        </w:rPr>
        <w:t xml:space="preserve"> EST</w:t>
      </w:r>
    </w:p>
    <w:p w:rsidR="00764540" w:rsidRPr="009122C4" w:rsidRDefault="00764540" w:rsidP="00764540">
      <w:pPr>
        <w:pStyle w:val="ListParagraph"/>
        <w:rPr>
          <w:rFonts w:ascii="Arial" w:hAnsi="Arial" w:cs="Arial"/>
        </w:rPr>
      </w:pPr>
    </w:p>
    <w:p w:rsidR="00205BA2" w:rsidRPr="009122C4" w:rsidRDefault="00205BA2" w:rsidP="005E4DD4">
      <w:pPr>
        <w:pStyle w:val="ListParagraph"/>
        <w:numPr>
          <w:ilvl w:val="0"/>
          <w:numId w:val="5"/>
        </w:numPr>
        <w:rPr>
          <w:rFonts w:ascii="Arial" w:hAnsi="Arial" w:cs="Arial"/>
        </w:rPr>
      </w:pPr>
      <w:r w:rsidRPr="009122C4">
        <w:rPr>
          <w:rFonts w:ascii="Arial" w:hAnsi="Arial" w:cs="Arial"/>
        </w:rPr>
        <w:t>February 25, 3-4</w:t>
      </w:r>
      <w:r w:rsidR="005E4DD4" w:rsidRPr="009122C4">
        <w:rPr>
          <w:rFonts w:ascii="Arial" w:hAnsi="Arial" w:cs="Arial"/>
        </w:rPr>
        <w:t xml:space="preserve"> </w:t>
      </w:r>
      <w:r w:rsidRPr="009122C4">
        <w:rPr>
          <w:rFonts w:ascii="Arial" w:hAnsi="Arial" w:cs="Arial"/>
        </w:rPr>
        <w:t>p</w:t>
      </w:r>
      <w:r w:rsidR="005E4DD4" w:rsidRPr="009122C4">
        <w:rPr>
          <w:rFonts w:ascii="Arial" w:hAnsi="Arial" w:cs="Arial"/>
        </w:rPr>
        <w:t>.</w:t>
      </w:r>
      <w:r w:rsidRPr="009122C4">
        <w:rPr>
          <w:rFonts w:ascii="Arial" w:hAnsi="Arial" w:cs="Arial"/>
        </w:rPr>
        <w:t>m</w:t>
      </w:r>
      <w:r w:rsidR="005E4DD4" w:rsidRPr="009122C4">
        <w:rPr>
          <w:rFonts w:ascii="Arial" w:hAnsi="Arial" w:cs="Arial"/>
        </w:rPr>
        <w:t>.</w:t>
      </w:r>
      <w:r w:rsidRPr="009122C4">
        <w:rPr>
          <w:rFonts w:ascii="Arial" w:hAnsi="Arial" w:cs="Arial"/>
        </w:rPr>
        <w:t xml:space="preserve"> EST</w:t>
      </w:r>
    </w:p>
    <w:p w:rsidR="005E4DD4" w:rsidRPr="009122C4" w:rsidRDefault="005E4DD4" w:rsidP="005E4DD4">
      <w:pPr>
        <w:pStyle w:val="ListParagraph"/>
        <w:rPr>
          <w:rFonts w:ascii="Arial" w:hAnsi="Arial" w:cs="Arial"/>
        </w:rPr>
      </w:pPr>
    </w:p>
    <w:p w:rsidR="005E4DD4" w:rsidRPr="009122C4" w:rsidRDefault="00205BA2" w:rsidP="005E4DD4">
      <w:pPr>
        <w:pStyle w:val="ListParagraph"/>
        <w:numPr>
          <w:ilvl w:val="0"/>
          <w:numId w:val="5"/>
        </w:numPr>
        <w:rPr>
          <w:rFonts w:ascii="Arial" w:hAnsi="Arial" w:cs="Arial"/>
        </w:rPr>
      </w:pPr>
      <w:r w:rsidRPr="009122C4">
        <w:rPr>
          <w:rFonts w:ascii="Arial" w:hAnsi="Arial" w:cs="Arial"/>
        </w:rPr>
        <w:t>March 11, 3-4</w:t>
      </w:r>
      <w:r w:rsidR="005E4DD4" w:rsidRPr="009122C4">
        <w:rPr>
          <w:rFonts w:ascii="Arial" w:hAnsi="Arial" w:cs="Arial"/>
        </w:rPr>
        <w:t xml:space="preserve"> </w:t>
      </w:r>
      <w:r w:rsidRPr="009122C4">
        <w:rPr>
          <w:rFonts w:ascii="Arial" w:hAnsi="Arial" w:cs="Arial"/>
        </w:rPr>
        <w:t>p</w:t>
      </w:r>
      <w:r w:rsidR="005E4DD4" w:rsidRPr="009122C4">
        <w:rPr>
          <w:rFonts w:ascii="Arial" w:hAnsi="Arial" w:cs="Arial"/>
        </w:rPr>
        <w:t>.</w:t>
      </w:r>
      <w:r w:rsidRPr="009122C4">
        <w:rPr>
          <w:rFonts w:ascii="Arial" w:hAnsi="Arial" w:cs="Arial"/>
        </w:rPr>
        <w:t>m</w:t>
      </w:r>
      <w:r w:rsidR="005E4DD4" w:rsidRPr="009122C4">
        <w:rPr>
          <w:rFonts w:ascii="Arial" w:hAnsi="Arial" w:cs="Arial"/>
        </w:rPr>
        <w:t>.</w:t>
      </w:r>
      <w:r w:rsidR="00764540">
        <w:rPr>
          <w:rFonts w:ascii="Arial" w:hAnsi="Arial" w:cs="Arial"/>
        </w:rPr>
        <w:t xml:space="preserve"> ES</w:t>
      </w:r>
      <w:r w:rsidRPr="009122C4">
        <w:rPr>
          <w:rFonts w:ascii="Arial" w:hAnsi="Arial" w:cs="Arial"/>
        </w:rPr>
        <w:t>T</w:t>
      </w:r>
    </w:p>
    <w:p w:rsidR="005E4DD4" w:rsidRPr="009122C4" w:rsidRDefault="005E4DD4" w:rsidP="005E4DD4">
      <w:pPr>
        <w:pStyle w:val="ListParagraph"/>
        <w:rPr>
          <w:rFonts w:ascii="Arial" w:hAnsi="Arial" w:cs="Arial"/>
        </w:rPr>
      </w:pPr>
    </w:p>
    <w:p w:rsidR="005E4DD4" w:rsidRPr="009122C4" w:rsidRDefault="00205BA2" w:rsidP="005E4DD4">
      <w:pPr>
        <w:pStyle w:val="ListParagraph"/>
        <w:numPr>
          <w:ilvl w:val="0"/>
          <w:numId w:val="5"/>
        </w:numPr>
        <w:rPr>
          <w:rFonts w:ascii="Arial" w:hAnsi="Arial" w:cs="Arial"/>
        </w:rPr>
      </w:pPr>
      <w:r w:rsidRPr="009122C4">
        <w:rPr>
          <w:rFonts w:ascii="Arial" w:hAnsi="Arial" w:cs="Arial"/>
        </w:rPr>
        <w:t>March 25, 3-4</w:t>
      </w:r>
      <w:r w:rsidR="005E4DD4" w:rsidRPr="009122C4">
        <w:rPr>
          <w:rFonts w:ascii="Arial" w:hAnsi="Arial" w:cs="Arial"/>
        </w:rPr>
        <w:t xml:space="preserve"> </w:t>
      </w:r>
      <w:r w:rsidRPr="009122C4">
        <w:rPr>
          <w:rFonts w:ascii="Arial" w:hAnsi="Arial" w:cs="Arial"/>
        </w:rPr>
        <w:t>p</w:t>
      </w:r>
      <w:r w:rsidR="005E4DD4" w:rsidRPr="009122C4">
        <w:rPr>
          <w:rFonts w:ascii="Arial" w:hAnsi="Arial" w:cs="Arial"/>
        </w:rPr>
        <w:t>.</w:t>
      </w:r>
      <w:r w:rsidRPr="009122C4">
        <w:rPr>
          <w:rFonts w:ascii="Arial" w:hAnsi="Arial" w:cs="Arial"/>
        </w:rPr>
        <w:t>m</w:t>
      </w:r>
      <w:r w:rsidR="005E4DD4" w:rsidRPr="009122C4">
        <w:rPr>
          <w:rFonts w:ascii="Arial" w:hAnsi="Arial" w:cs="Arial"/>
        </w:rPr>
        <w:t>.</w:t>
      </w:r>
      <w:r w:rsidR="00764540">
        <w:rPr>
          <w:rFonts w:ascii="Arial" w:hAnsi="Arial" w:cs="Arial"/>
        </w:rPr>
        <w:t xml:space="preserve"> ES</w:t>
      </w:r>
      <w:r w:rsidRPr="009122C4">
        <w:rPr>
          <w:rFonts w:ascii="Arial" w:hAnsi="Arial" w:cs="Arial"/>
        </w:rPr>
        <w:t>T</w:t>
      </w:r>
    </w:p>
    <w:p w:rsidR="005E4DD4" w:rsidRPr="009122C4" w:rsidRDefault="005E4DD4" w:rsidP="005E4DD4">
      <w:pPr>
        <w:pStyle w:val="ListParagraph"/>
        <w:rPr>
          <w:rFonts w:ascii="Arial" w:hAnsi="Arial" w:cs="Arial"/>
        </w:rPr>
      </w:pPr>
    </w:p>
    <w:p w:rsidR="00205BA2" w:rsidRPr="009122C4" w:rsidRDefault="00205BA2" w:rsidP="005E4DD4">
      <w:pPr>
        <w:pStyle w:val="ListParagraph"/>
        <w:numPr>
          <w:ilvl w:val="0"/>
          <w:numId w:val="5"/>
        </w:numPr>
        <w:rPr>
          <w:rFonts w:ascii="Arial" w:hAnsi="Arial" w:cs="Arial"/>
        </w:rPr>
      </w:pPr>
      <w:r w:rsidRPr="009122C4">
        <w:rPr>
          <w:rFonts w:ascii="Arial" w:hAnsi="Arial" w:cs="Arial"/>
        </w:rPr>
        <w:t>April 22, 3-4</w:t>
      </w:r>
      <w:r w:rsidR="005E4DD4" w:rsidRPr="009122C4">
        <w:rPr>
          <w:rFonts w:ascii="Arial" w:hAnsi="Arial" w:cs="Arial"/>
        </w:rPr>
        <w:t xml:space="preserve"> </w:t>
      </w:r>
      <w:r w:rsidRPr="009122C4">
        <w:rPr>
          <w:rFonts w:ascii="Arial" w:hAnsi="Arial" w:cs="Arial"/>
        </w:rPr>
        <w:t>p</w:t>
      </w:r>
      <w:r w:rsidR="005E4DD4" w:rsidRPr="009122C4">
        <w:rPr>
          <w:rFonts w:ascii="Arial" w:hAnsi="Arial" w:cs="Arial"/>
        </w:rPr>
        <w:t>.</w:t>
      </w:r>
      <w:r w:rsidRPr="009122C4">
        <w:rPr>
          <w:rFonts w:ascii="Arial" w:hAnsi="Arial" w:cs="Arial"/>
        </w:rPr>
        <w:t>m</w:t>
      </w:r>
      <w:r w:rsidR="005E4DD4" w:rsidRPr="009122C4">
        <w:rPr>
          <w:rFonts w:ascii="Arial" w:hAnsi="Arial" w:cs="Arial"/>
        </w:rPr>
        <w:t>.</w:t>
      </w:r>
      <w:r w:rsidR="00764540">
        <w:rPr>
          <w:rFonts w:ascii="Arial" w:hAnsi="Arial" w:cs="Arial"/>
        </w:rPr>
        <w:t xml:space="preserve"> ES</w:t>
      </w:r>
      <w:r w:rsidRPr="009122C4">
        <w:rPr>
          <w:rFonts w:ascii="Arial" w:hAnsi="Arial" w:cs="Arial"/>
        </w:rPr>
        <w:t>T</w:t>
      </w:r>
    </w:p>
    <w:p w:rsidR="005E4DD4" w:rsidRPr="009122C4" w:rsidRDefault="005E4DD4" w:rsidP="005E4DD4">
      <w:pPr>
        <w:pStyle w:val="ListParagraph"/>
        <w:rPr>
          <w:rFonts w:ascii="Arial" w:hAnsi="Arial" w:cs="Arial"/>
        </w:rPr>
      </w:pPr>
    </w:p>
    <w:p w:rsidR="00205BA2" w:rsidRPr="009122C4" w:rsidRDefault="00205BA2" w:rsidP="005E4DD4">
      <w:pPr>
        <w:pStyle w:val="ListParagraph"/>
        <w:numPr>
          <w:ilvl w:val="0"/>
          <w:numId w:val="5"/>
        </w:numPr>
        <w:rPr>
          <w:rFonts w:ascii="Arial" w:hAnsi="Arial" w:cs="Arial"/>
        </w:rPr>
      </w:pPr>
      <w:r w:rsidRPr="009122C4">
        <w:rPr>
          <w:rFonts w:ascii="Arial" w:hAnsi="Arial" w:cs="Arial"/>
        </w:rPr>
        <w:t>May 20, 3-4</w:t>
      </w:r>
      <w:r w:rsidR="005E4DD4" w:rsidRPr="009122C4">
        <w:rPr>
          <w:rFonts w:ascii="Arial" w:hAnsi="Arial" w:cs="Arial"/>
        </w:rPr>
        <w:t xml:space="preserve"> </w:t>
      </w:r>
      <w:r w:rsidRPr="009122C4">
        <w:rPr>
          <w:rFonts w:ascii="Arial" w:hAnsi="Arial" w:cs="Arial"/>
        </w:rPr>
        <w:t>p</w:t>
      </w:r>
      <w:r w:rsidR="005E4DD4" w:rsidRPr="009122C4">
        <w:rPr>
          <w:rFonts w:ascii="Arial" w:hAnsi="Arial" w:cs="Arial"/>
        </w:rPr>
        <w:t>.</w:t>
      </w:r>
      <w:r w:rsidRPr="009122C4">
        <w:rPr>
          <w:rFonts w:ascii="Arial" w:hAnsi="Arial" w:cs="Arial"/>
        </w:rPr>
        <w:t>m</w:t>
      </w:r>
      <w:r w:rsidR="005E4DD4" w:rsidRPr="009122C4">
        <w:rPr>
          <w:rFonts w:ascii="Arial" w:hAnsi="Arial" w:cs="Arial"/>
        </w:rPr>
        <w:t>.</w:t>
      </w:r>
      <w:r w:rsidR="00764540">
        <w:rPr>
          <w:rFonts w:ascii="Arial" w:hAnsi="Arial" w:cs="Arial"/>
        </w:rPr>
        <w:t xml:space="preserve"> ES</w:t>
      </w:r>
      <w:r w:rsidRPr="009122C4">
        <w:rPr>
          <w:rFonts w:ascii="Arial" w:hAnsi="Arial" w:cs="Arial"/>
        </w:rPr>
        <w:t>T</w:t>
      </w:r>
    </w:p>
    <w:p w:rsidR="005E4DD4" w:rsidRPr="009122C4" w:rsidRDefault="005E4DD4" w:rsidP="005E4DD4">
      <w:pPr>
        <w:pStyle w:val="ListParagraph"/>
        <w:rPr>
          <w:rFonts w:ascii="Arial" w:hAnsi="Arial" w:cs="Arial"/>
        </w:rPr>
      </w:pPr>
    </w:p>
    <w:p w:rsidR="00205BA2" w:rsidRPr="009122C4" w:rsidRDefault="00205BA2" w:rsidP="005E4DD4">
      <w:pPr>
        <w:pStyle w:val="ListParagraph"/>
        <w:numPr>
          <w:ilvl w:val="0"/>
          <w:numId w:val="5"/>
        </w:numPr>
        <w:rPr>
          <w:rFonts w:ascii="Arial" w:hAnsi="Arial" w:cs="Arial"/>
        </w:rPr>
      </w:pPr>
      <w:r w:rsidRPr="009122C4">
        <w:rPr>
          <w:rFonts w:ascii="Arial" w:hAnsi="Arial" w:cs="Arial"/>
        </w:rPr>
        <w:t>June 17, 3-4</w:t>
      </w:r>
      <w:r w:rsidR="005E4DD4" w:rsidRPr="009122C4">
        <w:rPr>
          <w:rFonts w:ascii="Arial" w:hAnsi="Arial" w:cs="Arial"/>
        </w:rPr>
        <w:t xml:space="preserve"> </w:t>
      </w:r>
      <w:r w:rsidRPr="009122C4">
        <w:rPr>
          <w:rFonts w:ascii="Arial" w:hAnsi="Arial" w:cs="Arial"/>
        </w:rPr>
        <w:t>p</w:t>
      </w:r>
      <w:r w:rsidR="005E4DD4" w:rsidRPr="009122C4">
        <w:rPr>
          <w:rFonts w:ascii="Arial" w:hAnsi="Arial" w:cs="Arial"/>
        </w:rPr>
        <w:t>.</w:t>
      </w:r>
      <w:r w:rsidRPr="009122C4">
        <w:rPr>
          <w:rFonts w:ascii="Arial" w:hAnsi="Arial" w:cs="Arial"/>
        </w:rPr>
        <w:t>m</w:t>
      </w:r>
      <w:r w:rsidR="005E4DD4" w:rsidRPr="009122C4">
        <w:rPr>
          <w:rFonts w:ascii="Arial" w:hAnsi="Arial" w:cs="Arial"/>
        </w:rPr>
        <w:t>.</w:t>
      </w:r>
      <w:r w:rsidR="00764540">
        <w:rPr>
          <w:rFonts w:ascii="Arial" w:hAnsi="Arial" w:cs="Arial"/>
        </w:rPr>
        <w:t xml:space="preserve"> ES</w:t>
      </w:r>
      <w:r w:rsidRPr="009122C4">
        <w:rPr>
          <w:rFonts w:ascii="Arial" w:hAnsi="Arial" w:cs="Arial"/>
        </w:rPr>
        <w:t>T</w:t>
      </w:r>
    </w:p>
    <w:p w:rsidR="005E4DD4" w:rsidRPr="009122C4" w:rsidRDefault="005E4DD4" w:rsidP="005E4DD4">
      <w:pPr>
        <w:pStyle w:val="ListParagraph"/>
        <w:rPr>
          <w:rFonts w:ascii="Arial" w:hAnsi="Arial" w:cs="Arial"/>
        </w:rPr>
      </w:pPr>
    </w:p>
    <w:p w:rsidR="00205BA2" w:rsidRPr="009122C4" w:rsidRDefault="00205BA2" w:rsidP="005E4DD4">
      <w:pPr>
        <w:pStyle w:val="ListParagraph"/>
        <w:numPr>
          <w:ilvl w:val="0"/>
          <w:numId w:val="5"/>
        </w:numPr>
        <w:rPr>
          <w:rFonts w:ascii="Arial" w:hAnsi="Arial" w:cs="Arial"/>
        </w:rPr>
      </w:pPr>
      <w:r w:rsidRPr="009122C4">
        <w:rPr>
          <w:rFonts w:ascii="Arial" w:hAnsi="Arial" w:cs="Arial"/>
        </w:rPr>
        <w:t>July 22, 3-4</w:t>
      </w:r>
      <w:r w:rsidR="005E4DD4" w:rsidRPr="009122C4">
        <w:rPr>
          <w:rFonts w:ascii="Arial" w:hAnsi="Arial" w:cs="Arial"/>
        </w:rPr>
        <w:t xml:space="preserve"> </w:t>
      </w:r>
      <w:r w:rsidRPr="009122C4">
        <w:rPr>
          <w:rFonts w:ascii="Arial" w:hAnsi="Arial" w:cs="Arial"/>
        </w:rPr>
        <w:t>p</w:t>
      </w:r>
      <w:r w:rsidR="005E4DD4" w:rsidRPr="009122C4">
        <w:rPr>
          <w:rFonts w:ascii="Arial" w:hAnsi="Arial" w:cs="Arial"/>
        </w:rPr>
        <w:t>.</w:t>
      </w:r>
      <w:r w:rsidRPr="009122C4">
        <w:rPr>
          <w:rFonts w:ascii="Arial" w:hAnsi="Arial" w:cs="Arial"/>
        </w:rPr>
        <w:t>m</w:t>
      </w:r>
      <w:r w:rsidR="005E4DD4" w:rsidRPr="009122C4">
        <w:rPr>
          <w:rFonts w:ascii="Arial" w:hAnsi="Arial" w:cs="Arial"/>
        </w:rPr>
        <w:t>.</w:t>
      </w:r>
      <w:r w:rsidR="00764540">
        <w:rPr>
          <w:rFonts w:ascii="Arial" w:hAnsi="Arial" w:cs="Arial"/>
        </w:rPr>
        <w:t xml:space="preserve"> ES</w:t>
      </w:r>
      <w:r w:rsidRPr="009122C4">
        <w:rPr>
          <w:rFonts w:ascii="Arial" w:hAnsi="Arial" w:cs="Arial"/>
        </w:rPr>
        <w:t>T</w:t>
      </w:r>
    </w:p>
    <w:p w:rsidR="005E4DD4" w:rsidRPr="009122C4" w:rsidRDefault="005E4DD4" w:rsidP="005E4DD4">
      <w:pPr>
        <w:pStyle w:val="ListParagraph"/>
        <w:rPr>
          <w:rFonts w:ascii="Arial" w:hAnsi="Arial" w:cs="Arial"/>
        </w:rPr>
      </w:pPr>
    </w:p>
    <w:p w:rsidR="00205BA2" w:rsidRPr="009122C4" w:rsidRDefault="00205BA2" w:rsidP="005E4DD4">
      <w:pPr>
        <w:pStyle w:val="ListParagraph"/>
        <w:numPr>
          <w:ilvl w:val="0"/>
          <w:numId w:val="5"/>
        </w:numPr>
        <w:rPr>
          <w:rFonts w:ascii="Arial" w:hAnsi="Arial" w:cs="Arial"/>
        </w:rPr>
      </w:pPr>
      <w:r w:rsidRPr="009122C4">
        <w:rPr>
          <w:rFonts w:ascii="Arial" w:hAnsi="Arial" w:cs="Arial"/>
        </w:rPr>
        <w:t>August 19, 3-4</w:t>
      </w:r>
      <w:r w:rsidR="005E4DD4" w:rsidRPr="009122C4">
        <w:rPr>
          <w:rFonts w:ascii="Arial" w:hAnsi="Arial" w:cs="Arial"/>
        </w:rPr>
        <w:t xml:space="preserve"> </w:t>
      </w:r>
      <w:r w:rsidRPr="009122C4">
        <w:rPr>
          <w:rFonts w:ascii="Arial" w:hAnsi="Arial" w:cs="Arial"/>
        </w:rPr>
        <w:t>p</w:t>
      </w:r>
      <w:r w:rsidR="005E4DD4" w:rsidRPr="009122C4">
        <w:rPr>
          <w:rFonts w:ascii="Arial" w:hAnsi="Arial" w:cs="Arial"/>
        </w:rPr>
        <w:t>.</w:t>
      </w:r>
      <w:r w:rsidRPr="009122C4">
        <w:rPr>
          <w:rFonts w:ascii="Arial" w:hAnsi="Arial" w:cs="Arial"/>
        </w:rPr>
        <w:t>m</w:t>
      </w:r>
      <w:r w:rsidR="005E4DD4" w:rsidRPr="009122C4">
        <w:rPr>
          <w:rFonts w:ascii="Arial" w:hAnsi="Arial" w:cs="Arial"/>
        </w:rPr>
        <w:t>.</w:t>
      </w:r>
      <w:r w:rsidR="00764540">
        <w:rPr>
          <w:rFonts w:ascii="Arial" w:hAnsi="Arial" w:cs="Arial"/>
        </w:rPr>
        <w:t xml:space="preserve"> ES</w:t>
      </w:r>
      <w:r w:rsidRPr="009122C4">
        <w:rPr>
          <w:rFonts w:ascii="Arial" w:hAnsi="Arial" w:cs="Arial"/>
        </w:rPr>
        <w:t>T</w:t>
      </w:r>
    </w:p>
    <w:p w:rsidR="005E4DD4" w:rsidRPr="009122C4" w:rsidRDefault="005E4DD4" w:rsidP="005E4DD4">
      <w:pPr>
        <w:pStyle w:val="ListParagraph"/>
        <w:rPr>
          <w:rFonts w:ascii="Arial" w:hAnsi="Arial" w:cs="Arial"/>
        </w:rPr>
      </w:pPr>
    </w:p>
    <w:p w:rsidR="00205BA2" w:rsidRPr="009122C4" w:rsidRDefault="00205BA2" w:rsidP="005E4DD4">
      <w:pPr>
        <w:pStyle w:val="ListParagraph"/>
        <w:numPr>
          <w:ilvl w:val="0"/>
          <w:numId w:val="5"/>
        </w:numPr>
        <w:rPr>
          <w:rFonts w:ascii="Arial" w:hAnsi="Arial" w:cs="Arial"/>
        </w:rPr>
      </w:pPr>
      <w:r w:rsidRPr="009122C4">
        <w:rPr>
          <w:rFonts w:ascii="Arial" w:hAnsi="Arial" w:cs="Arial"/>
        </w:rPr>
        <w:t>September 23, 3-4</w:t>
      </w:r>
      <w:r w:rsidR="005E4DD4" w:rsidRPr="009122C4">
        <w:rPr>
          <w:rFonts w:ascii="Arial" w:hAnsi="Arial" w:cs="Arial"/>
        </w:rPr>
        <w:t xml:space="preserve"> </w:t>
      </w:r>
      <w:r w:rsidR="00764540">
        <w:rPr>
          <w:rFonts w:ascii="Arial" w:hAnsi="Arial" w:cs="Arial"/>
        </w:rPr>
        <w:t>pm ES</w:t>
      </w:r>
      <w:r w:rsidRPr="009122C4">
        <w:rPr>
          <w:rFonts w:ascii="Arial" w:hAnsi="Arial" w:cs="Arial"/>
        </w:rPr>
        <w:t>T</w:t>
      </w:r>
    </w:p>
    <w:p w:rsidR="005E4DD4" w:rsidRPr="009122C4" w:rsidRDefault="005E4DD4" w:rsidP="005E4DD4">
      <w:pPr>
        <w:pStyle w:val="ListParagraph"/>
        <w:rPr>
          <w:rFonts w:ascii="Arial" w:hAnsi="Arial" w:cs="Arial"/>
        </w:rPr>
      </w:pPr>
    </w:p>
    <w:p w:rsidR="005E4DD4" w:rsidRPr="009122C4" w:rsidRDefault="005E4DD4" w:rsidP="005E4DD4">
      <w:pPr>
        <w:pStyle w:val="ListParagraph"/>
        <w:numPr>
          <w:ilvl w:val="0"/>
          <w:numId w:val="5"/>
        </w:numPr>
        <w:rPr>
          <w:rFonts w:ascii="Arial" w:hAnsi="Arial" w:cs="Arial"/>
        </w:rPr>
      </w:pPr>
      <w:r w:rsidRPr="009122C4">
        <w:rPr>
          <w:rFonts w:ascii="Arial" w:hAnsi="Arial" w:cs="Arial"/>
        </w:rPr>
        <w:t>October 21, 3-4 p.m.</w:t>
      </w:r>
      <w:r w:rsidR="00764540">
        <w:rPr>
          <w:rFonts w:ascii="Arial" w:hAnsi="Arial" w:cs="Arial"/>
        </w:rPr>
        <w:t xml:space="preserve"> ES</w:t>
      </w:r>
      <w:r w:rsidR="00205BA2" w:rsidRPr="009122C4">
        <w:rPr>
          <w:rFonts w:ascii="Arial" w:hAnsi="Arial" w:cs="Arial"/>
        </w:rPr>
        <w:t>T</w:t>
      </w:r>
    </w:p>
    <w:p w:rsidR="005E4DD4" w:rsidRPr="009122C4" w:rsidRDefault="005E4DD4" w:rsidP="005E4DD4">
      <w:pPr>
        <w:pStyle w:val="ListParagraph"/>
        <w:rPr>
          <w:rFonts w:ascii="Arial" w:hAnsi="Arial" w:cs="Arial"/>
        </w:rPr>
      </w:pPr>
    </w:p>
    <w:p w:rsidR="0061131A" w:rsidRPr="009122C4" w:rsidRDefault="00205BA2" w:rsidP="005E4DD4">
      <w:pPr>
        <w:pStyle w:val="ListParagraph"/>
        <w:numPr>
          <w:ilvl w:val="0"/>
          <w:numId w:val="5"/>
        </w:numPr>
        <w:autoSpaceDE w:val="0"/>
        <w:autoSpaceDN w:val="0"/>
        <w:adjustRightInd w:val="0"/>
        <w:spacing w:after="0"/>
        <w:rPr>
          <w:rFonts w:ascii="Arial" w:hAnsi="Arial" w:cs="Arial"/>
        </w:rPr>
      </w:pPr>
      <w:r w:rsidRPr="009122C4">
        <w:rPr>
          <w:rFonts w:ascii="Arial" w:hAnsi="Arial" w:cs="Arial"/>
        </w:rPr>
        <w:t>November 18, 3-4</w:t>
      </w:r>
      <w:r w:rsidR="005E4DD4" w:rsidRPr="009122C4">
        <w:rPr>
          <w:rFonts w:ascii="Arial" w:hAnsi="Arial" w:cs="Arial"/>
        </w:rPr>
        <w:t xml:space="preserve"> </w:t>
      </w:r>
      <w:r w:rsidRPr="009122C4">
        <w:rPr>
          <w:rFonts w:ascii="Arial" w:hAnsi="Arial" w:cs="Arial"/>
        </w:rPr>
        <w:t>p</w:t>
      </w:r>
      <w:r w:rsidR="005E4DD4" w:rsidRPr="009122C4">
        <w:rPr>
          <w:rFonts w:ascii="Arial" w:hAnsi="Arial" w:cs="Arial"/>
        </w:rPr>
        <w:t>.</w:t>
      </w:r>
      <w:r w:rsidRPr="009122C4">
        <w:rPr>
          <w:rFonts w:ascii="Arial" w:hAnsi="Arial" w:cs="Arial"/>
        </w:rPr>
        <w:t>m</w:t>
      </w:r>
      <w:r w:rsidR="005E4DD4" w:rsidRPr="009122C4">
        <w:rPr>
          <w:rFonts w:ascii="Arial" w:hAnsi="Arial" w:cs="Arial"/>
        </w:rPr>
        <w:t>.</w:t>
      </w:r>
      <w:r w:rsidRPr="009122C4">
        <w:rPr>
          <w:rFonts w:ascii="Arial" w:hAnsi="Arial" w:cs="Arial"/>
        </w:rPr>
        <w:t xml:space="preserve"> EST</w:t>
      </w:r>
    </w:p>
    <w:p w:rsidR="00FD2885" w:rsidRPr="009122C4" w:rsidRDefault="00FD2885" w:rsidP="00933366">
      <w:pPr>
        <w:autoSpaceDE w:val="0"/>
        <w:autoSpaceDN w:val="0"/>
        <w:adjustRightInd w:val="0"/>
        <w:spacing w:after="0" w:line="240" w:lineRule="auto"/>
        <w:ind w:left="-270"/>
        <w:rPr>
          <w:rFonts w:ascii="Arial" w:hAnsi="Arial" w:cs="Arial"/>
          <w:sz w:val="24"/>
          <w:szCs w:val="24"/>
        </w:rPr>
      </w:pPr>
    </w:p>
    <w:p w:rsidR="00FD2885" w:rsidRPr="009122C4" w:rsidRDefault="00205BA2" w:rsidP="00933366">
      <w:pPr>
        <w:autoSpaceDE w:val="0"/>
        <w:autoSpaceDN w:val="0"/>
        <w:adjustRightInd w:val="0"/>
        <w:spacing w:after="0" w:line="240" w:lineRule="auto"/>
        <w:ind w:left="-270"/>
        <w:rPr>
          <w:rFonts w:ascii="Arial" w:hAnsi="Arial" w:cs="Arial"/>
          <w:sz w:val="24"/>
          <w:szCs w:val="24"/>
        </w:rPr>
      </w:pPr>
      <w:r w:rsidRPr="009122C4">
        <w:rPr>
          <w:rFonts w:ascii="Arial" w:hAnsi="Arial" w:cs="Arial"/>
          <w:sz w:val="24"/>
          <w:szCs w:val="24"/>
        </w:rPr>
        <w:t xml:space="preserve">Contact the IRS Office of Safeguards for assistance and support </w:t>
      </w:r>
      <w:r w:rsidR="0061131A" w:rsidRPr="009122C4">
        <w:rPr>
          <w:rFonts w:ascii="Arial" w:hAnsi="Arial" w:cs="Arial"/>
          <w:sz w:val="24"/>
          <w:szCs w:val="24"/>
        </w:rPr>
        <w:t xml:space="preserve">us at </w:t>
      </w:r>
      <w:hyperlink r:id="rId9" w:history="1">
        <w:r w:rsidR="00FD2885" w:rsidRPr="009122C4">
          <w:rPr>
            <w:rStyle w:val="Hyperlink"/>
            <w:rFonts w:ascii="Arial" w:hAnsi="Arial" w:cs="Arial"/>
            <w:sz w:val="24"/>
            <w:szCs w:val="24"/>
          </w:rPr>
          <w:t>SafeguardReports@irs.gov</w:t>
        </w:r>
      </w:hyperlink>
      <w:r w:rsidR="0061131A" w:rsidRPr="009122C4">
        <w:rPr>
          <w:rFonts w:ascii="Arial" w:hAnsi="Arial" w:cs="Arial"/>
          <w:sz w:val="24"/>
          <w:szCs w:val="24"/>
        </w:rPr>
        <w:t xml:space="preserve"> at any time with questions and comments about the </w:t>
      </w:r>
      <w:r w:rsidR="005E4DD4" w:rsidRPr="009122C4">
        <w:rPr>
          <w:rFonts w:ascii="Arial" w:hAnsi="Arial" w:cs="Arial"/>
          <w:sz w:val="24"/>
          <w:szCs w:val="24"/>
        </w:rPr>
        <w:t xml:space="preserve">transition to the </w:t>
      </w:r>
      <w:r w:rsidR="0061131A" w:rsidRPr="009122C4">
        <w:rPr>
          <w:rFonts w:ascii="Arial" w:hAnsi="Arial" w:cs="Arial"/>
          <w:sz w:val="24"/>
          <w:szCs w:val="24"/>
        </w:rPr>
        <w:t>SSR or any other topic pertaining to Publication 1075. Please use the following in your subject line: Revised Publication 1075 Feedback.</w:t>
      </w:r>
    </w:p>
    <w:p w:rsidR="0061131A" w:rsidRPr="009122C4" w:rsidRDefault="0061131A" w:rsidP="00933366">
      <w:pPr>
        <w:autoSpaceDE w:val="0"/>
        <w:autoSpaceDN w:val="0"/>
        <w:adjustRightInd w:val="0"/>
        <w:spacing w:after="0" w:line="240" w:lineRule="auto"/>
        <w:ind w:left="-270"/>
        <w:rPr>
          <w:rFonts w:ascii="Arial" w:hAnsi="Arial" w:cs="Arial"/>
          <w:sz w:val="24"/>
          <w:szCs w:val="24"/>
        </w:rPr>
      </w:pPr>
    </w:p>
    <w:p w:rsidR="0061131A" w:rsidRPr="009122C4" w:rsidRDefault="0061131A" w:rsidP="00933366">
      <w:pPr>
        <w:autoSpaceDE w:val="0"/>
        <w:autoSpaceDN w:val="0"/>
        <w:adjustRightInd w:val="0"/>
        <w:spacing w:after="0" w:line="240" w:lineRule="auto"/>
        <w:ind w:left="-270"/>
        <w:rPr>
          <w:rFonts w:ascii="Arial" w:hAnsi="Arial" w:cs="Arial"/>
          <w:sz w:val="24"/>
          <w:szCs w:val="24"/>
        </w:rPr>
      </w:pPr>
      <w:r w:rsidRPr="009122C4">
        <w:rPr>
          <w:rFonts w:ascii="Arial" w:hAnsi="Arial" w:cs="Arial"/>
          <w:sz w:val="24"/>
          <w:szCs w:val="24"/>
        </w:rPr>
        <w:t>Thank you in advance for your cooperation.</w:t>
      </w:r>
    </w:p>
    <w:p w:rsidR="00FD2885" w:rsidRPr="009122C4" w:rsidRDefault="00FD2885">
      <w:pPr>
        <w:rPr>
          <w:rFonts w:ascii="Arial" w:hAnsi="Arial" w:cs="Arial"/>
          <w:sz w:val="24"/>
          <w:szCs w:val="24"/>
        </w:rPr>
      </w:pPr>
      <w:bookmarkStart w:id="0" w:name="_GoBack"/>
      <w:bookmarkEnd w:id="0"/>
    </w:p>
    <w:sectPr w:rsidR="00FD2885" w:rsidRPr="009122C4" w:rsidSect="00FD2885">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26C" w:rsidRDefault="00E3726C" w:rsidP="00FD2885">
      <w:pPr>
        <w:spacing w:after="0" w:line="240" w:lineRule="auto"/>
      </w:pPr>
      <w:r>
        <w:separator/>
      </w:r>
    </w:p>
  </w:endnote>
  <w:endnote w:type="continuationSeparator" w:id="0">
    <w:p w:rsidR="00E3726C" w:rsidRDefault="00E3726C" w:rsidP="00FD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26C" w:rsidRDefault="00E3726C" w:rsidP="00FD2885">
      <w:pPr>
        <w:spacing w:after="0" w:line="240" w:lineRule="auto"/>
      </w:pPr>
      <w:r>
        <w:separator/>
      </w:r>
    </w:p>
  </w:footnote>
  <w:footnote w:type="continuationSeparator" w:id="0">
    <w:p w:rsidR="00E3726C" w:rsidRDefault="00E3726C" w:rsidP="00FD2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4310E"/>
    <w:multiLevelType w:val="hybridMultilevel"/>
    <w:tmpl w:val="2152B1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2AED6E34"/>
    <w:multiLevelType w:val="hybridMultilevel"/>
    <w:tmpl w:val="77FC6C68"/>
    <w:lvl w:ilvl="0" w:tplc="04090001">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F4BBA"/>
    <w:multiLevelType w:val="hybridMultilevel"/>
    <w:tmpl w:val="4312758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4B251923"/>
    <w:multiLevelType w:val="hybridMultilevel"/>
    <w:tmpl w:val="F2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5A7707"/>
    <w:multiLevelType w:val="hybridMultilevel"/>
    <w:tmpl w:val="2E6C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85"/>
    <w:rsid w:val="00045890"/>
    <w:rsid w:val="00164295"/>
    <w:rsid w:val="00205BA2"/>
    <w:rsid w:val="002F74C5"/>
    <w:rsid w:val="003F7256"/>
    <w:rsid w:val="004808BB"/>
    <w:rsid w:val="005E4DD4"/>
    <w:rsid w:val="0061131A"/>
    <w:rsid w:val="00764540"/>
    <w:rsid w:val="009122C4"/>
    <w:rsid w:val="00933366"/>
    <w:rsid w:val="009559A5"/>
    <w:rsid w:val="009F6581"/>
    <w:rsid w:val="00A132A0"/>
    <w:rsid w:val="00BC2C9C"/>
    <w:rsid w:val="00C02B73"/>
    <w:rsid w:val="00C96C96"/>
    <w:rsid w:val="00CD4C42"/>
    <w:rsid w:val="00E3726C"/>
    <w:rsid w:val="00FD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FD2885"/>
    <w:pPr>
      <w:numPr>
        <w:numId w:val="1"/>
      </w:numPr>
      <w:tabs>
        <w:tab w:val="num" w:pos="360"/>
      </w:tabs>
      <w:spacing w:after="240" w:line="240" w:lineRule="auto"/>
      <w:ind w:left="0" w:firstLine="0"/>
      <w:contextualSpacing/>
    </w:pPr>
    <w:rPr>
      <w:rFonts w:ascii="Arial" w:eastAsia="Times New Roman" w:hAnsi="Arial" w:cs="Times New Roman"/>
      <w:sz w:val="24"/>
      <w:szCs w:val="24"/>
    </w:rPr>
  </w:style>
  <w:style w:type="character" w:styleId="Hyperlink">
    <w:name w:val="Hyperlink"/>
    <w:basedOn w:val="DefaultParagraphFont"/>
    <w:uiPriority w:val="99"/>
    <w:rsid w:val="00FD2885"/>
    <w:rPr>
      <w:rFonts w:cs="Times New Roman"/>
      <w:color w:val="0000FF"/>
      <w:u w:val="single"/>
    </w:rPr>
  </w:style>
  <w:style w:type="paragraph" w:styleId="ListParagraph">
    <w:name w:val="List Paragraph"/>
    <w:basedOn w:val="Normal"/>
    <w:uiPriority w:val="34"/>
    <w:qFormat/>
    <w:rsid w:val="00FD2885"/>
    <w:pPr>
      <w:spacing w:after="24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FD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85"/>
  </w:style>
  <w:style w:type="paragraph" w:styleId="Footer">
    <w:name w:val="footer"/>
    <w:basedOn w:val="Normal"/>
    <w:link w:val="FooterChar"/>
    <w:uiPriority w:val="99"/>
    <w:unhideWhenUsed/>
    <w:rsid w:val="00FD2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85"/>
  </w:style>
  <w:style w:type="character" w:styleId="Emphasis">
    <w:name w:val="Emphasis"/>
    <w:basedOn w:val="DefaultParagraphFont"/>
    <w:uiPriority w:val="99"/>
    <w:qFormat/>
    <w:rsid w:val="00FD2885"/>
    <w:rPr>
      <w:rFonts w:ascii="Arial" w:hAnsi="Arial" w:cs="Times New Roman"/>
      <w:b/>
      <w:sz w:val="24"/>
    </w:rPr>
  </w:style>
  <w:style w:type="character" w:styleId="CommentReference">
    <w:name w:val="annotation reference"/>
    <w:basedOn w:val="DefaultParagraphFont"/>
    <w:uiPriority w:val="99"/>
    <w:semiHidden/>
    <w:unhideWhenUsed/>
    <w:rsid w:val="00C96C96"/>
    <w:rPr>
      <w:sz w:val="16"/>
      <w:szCs w:val="16"/>
    </w:rPr>
  </w:style>
  <w:style w:type="paragraph" w:styleId="CommentText">
    <w:name w:val="annotation text"/>
    <w:basedOn w:val="Normal"/>
    <w:link w:val="CommentTextChar"/>
    <w:uiPriority w:val="99"/>
    <w:semiHidden/>
    <w:unhideWhenUsed/>
    <w:rsid w:val="00C96C96"/>
    <w:pPr>
      <w:spacing w:line="240" w:lineRule="auto"/>
    </w:pPr>
    <w:rPr>
      <w:sz w:val="20"/>
      <w:szCs w:val="20"/>
    </w:rPr>
  </w:style>
  <w:style w:type="character" w:customStyle="1" w:styleId="CommentTextChar">
    <w:name w:val="Comment Text Char"/>
    <w:basedOn w:val="DefaultParagraphFont"/>
    <w:link w:val="CommentText"/>
    <w:uiPriority w:val="99"/>
    <w:semiHidden/>
    <w:rsid w:val="00C96C96"/>
    <w:rPr>
      <w:sz w:val="20"/>
      <w:szCs w:val="20"/>
    </w:rPr>
  </w:style>
  <w:style w:type="paragraph" w:styleId="CommentSubject">
    <w:name w:val="annotation subject"/>
    <w:basedOn w:val="CommentText"/>
    <w:next w:val="CommentText"/>
    <w:link w:val="CommentSubjectChar"/>
    <w:uiPriority w:val="99"/>
    <w:semiHidden/>
    <w:unhideWhenUsed/>
    <w:rsid w:val="00C96C96"/>
    <w:rPr>
      <w:b/>
      <w:bCs/>
    </w:rPr>
  </w:style>
  <w:style w:type="character" w:customStyle="1" w:styleId="CommentSubjectChar">
    <w:name w:val="Comment Subject Char"/>
    <w:basedOn w:val="CommentTextChar"/>
    <w:link w:val="CommentSubject"/>
    <w:uiPriority w:val="99"/>
    <w:semiHidden/>
    <w:rsid w:val="00C96C96"/>
    <w:rPr>
      <w:b/>
      <w:bCs/>
      <w:sz w:val="20"/>
      <w:szCs w:val="20"/>
    </w:rPr>
  </w:style>
  <w:style w:type="paragraph" w:styleId="BalloonText">
    <w:name w:val="Balloon Text"/>
    <w:basedOn w:val="Normal"/>
    <w:link w:val="BalloonTextChar"/>
    <w:uiPriority w:val="99"/>
    <w:semiHidden/>
    <w:unhideWhenUsed/>
    <w:rsid w:val="00C96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C96"/>
    <w:rPr>
      <w:rFonts w:ascii="Tahoma" w:hAnsi="Tahoma" w:cs="Tahoma"/>
      <w:sz w:val="16"/>
      <w:szCs w:val="16"/>
    </w:rPr>
  </w:style>
  <w:style w:type="table" w:styleId="TableGrid">
    <w:name w:val="Table Grid"/>
    <w:basedOn w:val="TableNormal"/>
    <w:uiPriority w:val="59"/>
    <w:rsid w:val="00912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FD2885"/>
    <w:pPr>
      <w:numPr>
        <w:numId w:val="1"/>
      </w:numPr>
      <w:tabs>
        <w:tab w:val="num" w:pos="360"/>
      </w:tabs>
      <w:spacing w:after="240" w:line="240" w:lineRule="auto"/>
      <w:ind w:left="0" w:firstLine="0"/>
      <w:contextualSpacing/>
    </w:pPr>
    <w:rPr>
      <w:rFonts w:ascii="Arial" w:eastAsia="Times New Roman" w:hAnsi="Arial" w:cs="Times New Roman"/>
      <w:sz w:val="24"/>
      <w:szCs w:val="24"/>
    </w:rPr>
  </w:style>
  <w:style w:type="character" w:styleId="Hyperlink">
    <w:name w:val="Hyperlink"/>
    <w:basedOn w:val="DefaultParagraphFont"/>
    <w:uiPriority w:val="99"/>
    <w:rsid w:val="00FD2885"/>
    <w:rPr>
      <w:rFonts w:cs="Times New Roman"/>
      <w:color w:val="0000FF"/>
      <w:u w:val="single"/>
    </w:rPr>
  </w:style>
  <w:style w:type="paragraph" w:styleId="ListParagraph">
    <w:name w:val="List Paragraph"/>
    <w:basedOn w:val="Normal"/>
    <w:uiPriority w:val="34"/>
    <w:qFormat/>
    <w:rsid w:val="00FD2885"/>
    <w:pPr>
      <w:spacing w:after="24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FD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85"/>
  </w:style>
  <w:style w:type="paragraph" w:styleId="Footer">
    <w:name w:val="footer"/>
    <w:basedOn w:val="Normal"/>
    <w:link w:val="FooterChar"/>
    <w:uiPriority w:val="99"/>
    <w:unhideWhenUsed/>
    <w:rsid w:val="00FD2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85"/>
  </w:style>
  <w:style w:type="character" w:styleId="Emphasis">
    <w:name w:val="Emphasis"/>
    <w:basedOn w:val="DefaultParagraphFont"/>
    <w:uiPriority w:val="99"/>
    <w:qFormat/>
    <w:rsid w:val="00FD2885"/>
    <w:rPr>
      <w:rFonts w:ascii="Arial" w:hAnsi="Arial" w:cs="Times New Roman"/>
      <w:b/>
      <w:sz w:val="24"/>
    </w:rPr>
  </w:style>
  <w:style w:type="character" w:styleId="CommentReference">
    <w:name w:val="annotation reference"/>
    <w:basedOn w:val="DefaultParagraphFont"/>
    <w:uiPriority w:val="99"/>
    <w:semiHidden/>
    <w:unhideWhenUsed/>
    <w:rsid w:val="00C96C96"/>
    <w:rPr>
      <w:sz w:val="16"/>
      <w:szCs w:val="16"/>
    </w:rPr>
  </w:style>
  <w:style w:type="paragraph" w:styleId="CommentText">
    <w:name w:val="annotation text"/>
    <w:basedOn w:val="Normal"/>
    <w:link w:val="CommentTextChar"/>
    <w:uiPriority w:val="99"/>
    <w:semiHidden/>
    <w:unhideWhenUsed/>
    <w:rsid w:val="00C96C96"/>
    <w:pPr>
      <w:spacing w:line="240" w:lineRule="auto"/>
    </w:pPr>
    <w:rPr>
      <w:sz w:val="20"/>
      <w:szCs w:val="20"/>
    </w:rPr>
  </w:style>
  <w:style w:type="character" w:customStyle="1" w:styleId="CommentTextChar">
    <w:name w:val="Comment Text Char"/>
    <w:basedOn w:val="DefaultParagraphFont"/>
    <w:link w:val="CommentText"/>
    <w:uiPriority w:val="99"/>
    <w:semiHidden/>
    <w:rsid w:val="00C96C96"/>
    <w:rPr>
      <w:sz w:val="20"/>
      <w:szCs w:val="20"/>
    </w:rPr>
  </w:style>
  <w:style w:type="paragraph" w:styleId="CommentSubject">
    <w:name w:val="annotation subject"/>
    <w:basedOn w:val="CommentText"/>
    <w:next w:val="CommentText"/>
    <w:link w:val="CommentSubjectChar"/>
    <w:uiPriority w:val="99"/>
    <w:semiHidden/>
    <w:unhideWhenUsed/>
    <w:rsid w:val="00C96C96"/>
    <w:rPr>
      <w:b/>
      <w:bCs/>
    </w:rPr>
  </w:style>
  <w:style w:type="character" w:customStyle="1" w:styleId="CommentSubjectChar">
    <w:name w:val="Comment Subject Char"/>
    <w:basedOn w:val="CommentTextChar"/>
    <w:link w:val="CommentSubject"/>
    <w:uiPriority w:val="99"/>
    <w:semiHidden/>
    <w:rsid w:val="00C96C96"/>
    <w:rPr>
      <w:b/>
      <w:bCs/>
      <w:sz w:val="20"/>
      <w:szCs w:val="20"/>
    </w:rPr>
  </w:style>
  <w:style w:type="paragraph" w:styleId="BalloonText">
    <w:name w:val="Balloon Text"/>
    <w:basedOn w:val="Normal"/>
    <w:link w:val="BalloonTextChar"/>
    <w:uiPriority w:val="99"/>
    <w:semiHidden/>
    <w:unhideWhenUsed/>
    <w:rsid w:val="00C96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C96"/>
    <w:rPr>
      <w:rFonts w:ascii="Tahoma" w:hAnsi="Tahoma" w:cs="Tahoma"/>
      <w:sz w:val="16"/>
      <w:szCs w:val="16"/>
    </w:rPr>
  </w:style>
  <w:style w:type="table" w:styleId="TableGrid">
    <w:name w:val="Table Grid"/>
    <w:basedOn w:val="TableNormal"/>
    <w:uiPriority w:val="59"/>
    <w:rsid w:val="00912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reports@ir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feguardReports@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3</cp:revision>
  <dcterms:created xsi:type="dcterms:W3CDTF">2014-01-22T02:56:00Z</dcterms:created>
  <dcterms:modified xsi:type="dcterms:W3CDTF">2014-03-19T19:07:00Z</dcterms:modified>
</cp:coreProperties>
</file>